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431" w:rsidRPr="00902BB4" w:rsidRDefault="007A0431" w:rsidP="00F055AB">
      <w:pPr>
        <w:pStyle w:val="Title"/>
        <w:spacing w:line="276" w:lineRule="auto"/>
        <w:rPr>
          <w:rFonts w:cs="Arial"/>
          <w:sz w:val="22"/>
          <w:szCs w:val="22"/>
        </w:rPr>
      </w:pPr>
      <w:r w:rsidRPr="00902BB4">
        <w:rPr>
          <w:rFonts w:cs="Arial"/>
          <w:sz w:val="22"/>
          <w:szCs w:val="22"/>
        </w:rPr>
        <w:t>Syllabus</w:t>
      </w:r>
    </w:p>
    <w:p w:rsidR="007A0431" w:rsidRPr="00902BB4" w:rsidRDefault="00A64F44" w:rsidP="00F055AB">
      <w:pPr>
        <w:pStyle w:val="Title"/>
        <w:spacing w:line="276" w:lineRule="auto"/>
        <w:rPr>
          <w:rFonts w:cs="Arial"/>
          <w:sz w:val="22"/>
          <w:szCs w:val="22"/>
        </w:rPr>
      </w:pPr>
      <w:r>
        <w:rPr>
          <w:rFonts w:cs="Arial"/>
          <w:sz w:val="22"/>
          <w:szCs w:val="22"/>
        </w:rPr>
        <w:t>Bio 15</w:t>
      </w:r>
      <w:r w:rsidR="007A0431" w:rsidRPr="00902BB4">
        <w:rPr>
          <w:rFonts w:cs="Arial"/>
          <w:sz w:val="22"/>
          <w:szCs w:val="22"/>
        </w:rPr>
        <w:t xml:space="preserve">0 – </w:t>
      </w:r>
      <w:r>
        <w:rPr>
          <w:rFonts w:cs="Arial"/>
          <w:sz w:val="22"/>
          <w:szCs w:val="22"/>
        </w:rPr>
        <w:t>Public Health</w:t>
      </w:r>
      <w:r w:rsidR="00E44827">
        <w:rPr>
          <w:rFonts w:cs="Arial"/>
          <w:sz w:val="22"/>
          <w:szCs w:val="22"/>
        </w:rPr>
        <w:t xml:space="preserve"> - Fall 2016</w:t>
      </w:r>
    </w:p>
    <w:p w:rsidR="007A0431" w:rsidRPr="00902BB4" w:rsidRDefault="007A0431" w:rsidP="00F055AB">
      <w:pPr>
        <w:spacing w:line="276" w:lineRule="auto"/>
        <w:rPr>
          <w:rFonts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5800"/>
      </w:tblGrid>
      <w:tr w:rsidR="007A0431" w:rsidRPr="00902BB4" w:rsidTr="00CD2009">
        <w:tc>
          <w:tcPr>
            <w:tcW w:w="3848" w:type="dxa"/>
          </w:tcPr>
          <w:p w:rsidR="007A0431" w:rsidRPr="00902BB4" w:rsidRDefault="007A0431" w:rsidP="00F055AB">
            <w:pPr>
              <w:spacing w:line="276" w:lineRule="auto"/>
              <w:rPr>
                <w:rFonts w:cs="Arial"/>
                <w:sz w:val="22"/>
                <w:szCs w:val="22"/>
              </w:rPr>
            </w:pPr>
            <w:r w:rsidRPr="00902BB4">
              <w:rPr>
                <w:rFonts w:cs="Arial"/>
                <w:b/>
                <w:sz w:val="22"/>
                <w:szCs w:val="22"/>
              </w:rPr>
              <w:t>Instructor</w:t>
            </w:r>
            <w:r w:rsidRPr="00902BB4">
              <w:rPr>
                <w:rFonts w:cs="Arial"/>
                <w:sz w:val="22"/>
                <w:szCs w:val="22"/>
              </w:rPr>
              <w:t>: Jeffrey D. Newman</w:t>
            </w:r>
          </w:p>
          <w:p w:rsidR="007A0431" w:rsidRPr="00902BB4" w:rsidRDefault="007A0431" w:rsidP="00F055AB">
            <w:pPr>
              <w:spacing w:line="276" w:lineRule="auto"/>
              <w:rPr>
                <w:rFonts w:cs="Arial"/>
                <w:sz w:val="22"/>
                <w:szCs w:val="22"/>
              </w:rPr>
            </w:pPr>
            <w:r w:rsidRPr="00902BB4">
              <w:rPr>
                <w:rFonts w:cs="Arial"/>
                <w:b/>
                <w:sz w:val="22"/>
                <w:szCs w:val="22"/>
              </w:rPr>
              <w:t>Room</w:t>
            </w:r>
            <w:r w:rsidR="005D0169" w:rsidRPr="00902BB4">
              <w:rPr>
                <w:rFonts w:cs="Arial"/>
                <w:sz w:val="22"/>
                <w:szCs w:val="22"/>
              </w:rPr>
              <w:t>: Heim 107</w:t>
            </w:r>
          </w:p>
          <w:p w:rsidR="007A0431" w:rsidRPr="00902BB4" w:rsidRDefault="007A0431" w:rsidP="00F055AB">
            <w:pPr>
              <w:spacing w:line="276" w:lineRule="auto"/>
              <w:rPr>
                <w:rFonts w:cs="Arial"/>
                <w:sz w:val="22"/>
                <w:szCs w:val="22"/>
              </w:rPr>
            </w:pPr>
            <w:r w:rsidRPr="00902BB4">
              <w:rPr>
                <w:rFonts w:cs="Arial"/>
                <w:b/>
                <w:sz w:val="22"/>
                <w:szCs w:val="22"/>
              </w:rPr>
              <w:t>Phone</w:t>
            </w:r>
            <w:r w:rsidRPr="00902BB4">
              <w:rPr>
                <w:rFonts w:cs="Arial"/>
                <w:sz w:val="22"/>
                <w:szCs w:val="22"/>
              </w:rPr>
              <w:t>: 570-321-4386</w:t>
            </w:r>
          </w:p>
          <w:p w:rsidR="007A0431" w:rsidRPr="00902BB4" w:rsidRDefault="007A0431" w:rsidP="00F055AB">
            <w:pPr>
              <w:spacing w:line="276" w:lineRule="auto"/>
              <w:rPr>
                <w:rFonts w:cs="Arial"/>
                <w:sz w:val="22"/>
                <w:szCs w:val="22"/>
              </w:rPr>
            </w:pPr>
            <w:r w:rsidRPr="00902BB4">
              <w:rPr>
                <w:rFonts w:cs="Arial"/>
                <w:b/>
                <w:sz w:val="22"/>
                <w:szCs w:val="22"/>
              </w:rPr>
              <w:t>email</w:t>
            </w:r>
            <w:r w:rsidRPr="00902BB4">
              <w:rPr>
                <w:rFonts w:cs="Arial"/>
                <w:sz w:val="22"/>
                <w:szCs w:val="22"/>
              </w:rPr>
              <w:t xml:space="preserve">: </w:t>
            </w:r>
            <w:hyperlink r:id="rId5" w:history="1">
              <w:r w:rsidRPr="00902BB4">
                <w:rPr>
                  <w:rStyle w:val="Hyperlink"/>
                  <w:rFonts w:cs="Arial"/>
                  <w:sz w:val="22"/>
                  <w:szCs w:val="22"/>
                </w:rPr>
                <w:t>newman@lycoming.edu</w:t>
              </w:r>
            </w:hyperlink>
          </w:p>
          <w:p w:rsidR="007A0431" w:rsidRPr="00902BB4" w:rsidRDefault="007A0431" w:rsidP="0084123C">
            <w:pPr>
              <w:spacing w:line="276" w:lineRule="auto"/>
              <w:rPr>
                <w:rFonts w:cs="Arial"/>
                <w:sz w:val="22"/>
                <w:szCs w:val="22"/>
              </w:rPr>
            </w:pPr>
            <w:r w:rsidRPr="00902BB4">
              <w:rPr>
                <w:rFonts w:cs="Arial"/>
                <w:b/>
                <w:sz w:val="22"/>
                <w:szCs w:val="22"/>
              </w:rPr>
              <w:t>office hours</w:t>
            </w:r>
            <w:r w:rsidR="000B05DC" w:rsidRPr="00902BB4">
              <w:rPr>
                <w:rFonts w:cs="Arial"/>
                <w:sz w:val="22"/>
                <w:szCs w:val="22"/>
              </w:rPr>
              <w:t xml:space="preserve">: </w:t>
            </w:r>
            <w:r w:rsidR="000E69DD" w:rsidRPr="00902BB4">
              <w:rPr>
                <w:rFonts w:cs="Arial"/>
                <w:sz w:val="22"/>
                <w:szCs w:val="22"/>
              </w:rPr>
              <w:t>M</w:t>
            </w:r>
            <w:r w:rsidR="00123909" w:rsidRPr="00902BB4">
              <w:rPr>
                <w:rFonts w:cs="Arial"/>
                <w:sz w:val="22"/>
                <w:szCs w:val="22"/>
              </w:rPr>
              <w:t>on</w:t>
            </w:r>
            <w:r w:rsidR="0084123C">
              <w:rPr>
                <w:rFonts w:cs="Arial"/>
                <w:sz w:val="22"/>
                <w:szCs w:val="22"/>
              </w:rPr>
              <w:t xml:space="preserve"> 2-3 PM</w:t>
            </w:r>
            <w:r w:rsidR="00123909" w:rsidRPr="00902BB4">
              <w:rPr>
                <w:rFonts w:cs="Arial"/>
                <w:sz w:val="22"/>
                <w:szCs w:val="22"/>
              </w:rPr>
              <w:t xml:space="preserve">, </w:t>
            </w:r>
            <w:r w:rsidR="0084123C">
              <w:rPr>
                <w:rFonts w:cs="Arial"/>
                <w:sz w:val="22"/>
                <w:szCs w:val="22"/>
              </w:rPr>
              <w:br/>
              <w:t xml:space="preserve">                       Wed</w:t>
            </w:r>
            <w:r w:rsidR="00304052" w:rsidRPr="00902BB4">
              <w:rPr>
                <w:rFonts w:cs="Arial"/>
                <w:sz w:val="22"/>
                <w:szCs w:val="22"/>
              </w:rPr>
              <w:t xml:space="preserve"> </w:t>
            </w:r>
            <w:r w:rsidR="0084123C">
              <w:rPr>
                <w:rFonts w:cs="Arial"/>
                <w:sz w:val="22"/>
                <w:szCs w:val="22"/>
              </w:rPr>
              <w:t>1-</w:t>
            </w:r>
            <w:r w:rsidR="00123909" w:rsidRPr="00902BB4">
              <w:rPr>
                <w:rFonts w:cs="Arial"/>
                <w:sz w:val="22"/>
                <w:szCs w:val="22"/>
              </w:rPr>
              <w:t>2</w:t>
            </w:r>
            <w:r w:rsidR="00F055AB" w:rsidRPr="00902BB4">
              <w:rPr>
                <w:rFonts w:cs="Arial"/>
                <w:sz w:val="22"/>
                <w:szCs w:val="22"/>
              </w:rPr>
              <w:t xml:space="preserve"> PM</w:t>
            </w:r>
          </w:p>
        </w:tc>
        <w:tc>
          <w:tcPr>
            <w:tcW w:w="5800" w:type="dxa"/>
            <w:vAlign w:val="center"/>
          </w:tcPr>
          <w:p w:rsidR="007A0431" w:rsidRPr="00902BB4" w:rsidRDefault="007A0431" w:rsidP="00F055AB">
            <w:pPr>
              <w:spacing w:line="276" w:lineRule="auto"/>
              <w:ind w:left="720" w:hanging="720"/>
              <w:jc w:val="center"/>
              <w:rPr>
                <w:rFonts w:cs="Arial"/>
                <w:sz w:val="22"/>
                <w:szCs w:val="22"/>
              </w:rPr>
            </w:pPr>
            <w:r w:rsidRPr="00902BB4">
              <w:rPr>
                <w:rFonts w:cs="Arial"/>
                <w:b/>
                <w:bCs/>
                <w:sz w:val="22"/>
                <w:szCs w:val="22"/>
              </w:rPr>
              <w:t>Lecture</w:t>
            </w:r>
            <w:r w:rsidRPr="00902BB4">
              <w:rPr>
                <w:rFonts w:cs="Arial"/>
                <w:sz w:val="22"/>
                <w:szCs w:val="22"/>
              </w:rPr>
              <w:t xml:space="preserve"> meets </w:t>
            </w:r>
            <w:r w:rsidR="0071577F" w:rsidRPr="00902BB4">
              <w:rPr>
                <w:rFonts w:cs="Arial"/>
                <w:sz w:val="22"/>
                <w:szCs w:val="22"/>
              </w:rPr>
              <w:t xml:space="preserve">in </w:t>
            </w:r>
            <w:r w:rsidR="00A64F44">
              <w:rPr>
                <w:rFonts w:cs="Arial"/>
                <w:sz w:val="22"/>
                <w:szCs w:val="22"/>
              </w:rPr>
              <w:t>Lynn 153</w:t>
            </w:r>
            <w:r w:rsidR="0071577F" w:rsidRPr="00902BB4">
              <w:rPr>
                <w:rFonts w:cs="Arial"/>
                <w:sz w:val="22"/>
                <w:szCs w:val="22"/>
              </w:rPr>
              <w:t xml:space="preserve">  </w:t>
            </w:r>
            <w:r w:rsidRPr="00902BB4">
              <w:rPr>
                <w:rFonts w:cs="Arial"/>
                <w:sz w:val="22"/>
                <w:szCs w:val="22"/>
              </w:rPr>
              <w:t xml:space="preserve">MWF </w:t>
            </w:r>
            <w:r w:rsidR="00A64F44">
              <w:rPr>
                <w:rFonts w:cs="Arial"/>
                <w:sz w:val="22"/>
                <w:szCs w:val="22"/>
              </w:rPr>
              <w:t>10:15-11:20</w:t>
            </w:r>
            <w:r w:rsidRPr="00902BB4">
              <w:rPr>
                <w:rFonts w:cs="Arial"/>
                <w:sz w:val="22"/>
                <w:szCs w:val="22"/>
              </w:rPr>
              <w:t xml:space="preserve"> </w:t>
            </w:r>
          </w:p>
          <w:p w:rsidR="007A0431" w:rsidRPr="00902BB4" w:rsidRDefault="00136BFE" w:rsidP="0019755C">
            <w:pPr>
              <w:spacing w:line="276" w:lineRule="auto"/>
              <w:jc w:val="center"/>
              <w:rPr>
                <w:rFonts w:cs="Arial"/>
                <w:sz w:val="22"/>
                <w:szCs w:val="22"/>
                <w:u w:val="single"/>
              </w:rPr>
            </w:pPr>
            <w:r w:rsidRPr="00902BB4">
              <w:rPr>
                <w:rFonts w:cs="Arial"/>
                <w:b/>
                <w:bCs/>
                <w:sz w:val="22"/>
                <w:szCs w:val="22"/>
              </w:rPr>
              <w:t>Co</w:t>
            </w:r>
            <w:r w:rsidR="007A0431" w:rsidRPr="00902BB4">
              <w:rPr>
                <w:rFonts w:cs="Arial"/>
                <w:b/>
                <w:bCs/>
                <w:sz w:val="22"/>
                <w:szCs w:val="22"/>
              </w:rPr>
              <w:t xml:space="preserve">urse web </w:t>
            </w:r>
            <w:r w:rsidRPr="00902BB4">
              <w:rPr>
                <w:rFonts w:cs="Arial"/>
                <w:b/>
                <w:bCs/>
                <w:sz w:val="22"/>
                <w:szCs w:val="22"/>
              </w:rPr>
              <w:t>site</w:t>
            </w:r>
            <w:r w:rsidR="007A0431" w:rsidRPr="00902BB4">
              <w:rPr>
                <w:rFonts w:cs="Arial"/>
                <w:b/>
                <w:bCs/>
                <w:sz w:val="22"/>
                <w:szCs w:val="22"/>
              </w:rPr>
              <w:t>:</w:t>
            </w:r>
            <w:r w:rsidR="007A0431" w:rsidRPr="00902BB4">
              <w:rPr>
                <w:rFonts w:cs="Arial"/>
                <w:sz w:val="22"/>
                <w:szCs w:val="22"/>
              </w:rPr>
              <w:t xml:space="preserve"> </w:t>
            </w:r>
            <w:hyperlink r:id="rId6" w:history="1">
              <w:r w:rsidR="00C45401" w:rsidRPr="00902BB4">
                <w:rPr>
                  <w:rStyle w:val="Hyperlink"/>
                  <w:rFonts w:cs="Arial"/>
                  <w:color w:val="auto"/>
                  <w:sz w:val="22"/>
                  <w:szCs w:val="22"/>
                </w:rPr>
                <w:t>http://moodle.lycoming.edu</w:t>
              </w:r>
            </w:hyperlink>
          </w:p>
          <w:p w:rsidR="002F0A6B" w:rsidRPr="00902BB4" w:rsidRDefault="008E0401" w:rsidP="00A64F44">
            <w:pPr>
              <w:spacing w:line="276" w:lineRule="auto"/>
              <w:jc w:val="center"/>
              <w:rPr>
                <w:rFonts w:cs="Arial"/>
                <w:sz w:val="22"/>
                <w:szCs w:val="22"/>
              </w:rPr>
            </w:pPr>
            <w:r>
              <w:rPr>
                <w:rFonts w:cs="Arial"/>
                <w:sz w:val="22"/>
                <w:szCs w:val="22"/>
                <w:u w:val="single"/>
              </w:rPr>
              <w:t xml:space="preserve">Enrollment key = </w:t>
            </w:r>
            <w:proofErr w:type="spellStart"/>
            <w:r w:rsidR="00A64F44">
              <w:rPr>
                <w:rFonts w:cs="Arial"/>
                <w:sz w:val="22"/>
                <w:szCs w:val="22"/>
                <w:u w:val="single"/>
              </w:rPr>
              <w:t>BMGates</w:t>
            </w:r>
            <w:proofErr w:type="spellEnd"/>
          </w:p>
        </w:tc>
      </w:tr>
    </w:tbl>
    <w:p w:rsidR="007A0431" w:rsidRPr="00902BB4" w:rsidRDefault="007A0431" w:rsidP="00F055AB">
      <w:pPr>
        <w:spacing w:line="276" w:lineRule="auto"/>
        <w:rPr>
          <w:rFonts w:cs="Arial"/>
          <w:sz w:val="22"/>
          <w:szCs w:val="22"/>
        </w:rPr>
      </w:pPr>
    </w:p>
    <w:p w:rsidR="00571BD6" w:rsidRPr="00902BB4" w:rsidRDefault="007A0431" w:rsidP="00F055AB">
      <w:pPr>
        <w:spacing w:line="276" w:lineRule="auto"/>
        <w:ind w:left="720" w:hanging="720"/>
        <w:rPr>
          <w:rFonts w:cs="Arial"/>
          <w:sz w:val="22"/>
          <w:szCs w:val="22"/>
        </w:rPr>
      </w:pPr>
      <w:r w:rsidRPr="00902BB4">
        <w:rPr>
          <w:rFonts w:cs="Arial"/>
          <w:b/>
          <w:sz w:val="22"/>
          <w:szCs w:val="22"/>
        </w:rPr>
        <w:t>Catalog Description of Course:</w:t>
      </w:r>
      <w:r w:rsidRPr="00902BB4">
        <w:rPr>
          <w:rFonts w:cs="Arial"/>
          <w:sz w:val="22"/>
          <w:szCs w:val="22"/>
        </w:rPr>
        <w:t xml:space="preserve"> </w:t>
      </w:r>
      <w:r w:rsidR="00A64F44" w:rsidRPr="00A64F44">
        <w:rPr>
          <w:rFonts w:cs="Arial"/>
          <w:sz w:val="22"/>
          <w:szCs w:val="22"/>
        </w:rPr>
        <w:t>The health of human populations around the world has improved dramatically over the past 150 years due to improvements in nutrition, water treatment and sanitation, worker and transportation safety, infectious disease prevention and treatment, as well as other medical innovations. This course will explore the science behind global public health successes and current challenges through case studies and evaluation of proposed public health policies.</w:t>
      </w:r>
    </w:p>
    <w:p w:rsidR="00A24E69" w:rsidRDefault="00A24E69" w:rsidP="00F055AB">
      <w:pPr>
        <w:spacing w:line="276" w:lineRule="auto"/>
        <w:ind w:left="720" w:hanging="720"/>
        <w:rPr>
          <w:rFonts w:cs="Arial"/>
          <w:b/>
          <w:sz w:val="22"/>
          <w:szCs w:val="22"/>
        </w:rPr>
      </w:pPr>
    </w:p>
    <w:p w:rsidR="00BD3659" w:rsidRPr="00902BB4" w:rsidRDefault="007A0431" w:rsidP="00F055AB">
      <w:pPr>
        <w:spacing w:line="276" w:lineRule="auto"/>
        <w:ind w:left="720" w:hanging="720"/>
        <w:rPr>
          <w:rFonts w:cs="Arial"/>
          <w:sz w:val="22"/>
          <w:szCs w:val="22"/>
        </w:rPr>
      </w:pPr>
      <w:r w:rsidRPr="00902BB4">
        <w:rPr>
          <w:rFonts w:cs="Arial"/>
          <w:b/>
          <w:sz w:val="22"/>
          <w:szCs w:val="22"/>
        </w:rPr>
        <w:t>Text</w:t>
      </w:r>
      <w:r w:rsidRPr="00902BB4">
        <w:rPr>
          <w:rFonts w:cs="Arial"/>
          <w:sz w:val="22"/>
          <w:szCs w:val="22"/>
        </w:rPr>
        <w:t xml:space="preserve">: </w:t>
      </w:r>
      <w:r w:rsidR="00A64F44">
        <w:rPr>
          <w:rFonts w:cs="Arial"/>
          <w:sz w:val="22"/>
          <w:szCs w:val="22"/>
        </w:rPr>
        <w:t>Introduction to Public Health, 4</w:t>
      </w:r>
      <w:r w:rsidR="00A64F44" w:rsidRPr="00A64F44">
        <w:rPr>
          <w:rFonts w:cs="Arial"/>
          <w:sz w:val="22"/>
          <w:szCs w:val="22"/>
          <w:vertAlign w:val="superscript"/>
        </w:rPr>
        <w:t>th</w:t>
      </w:r>
      <w:r w:rsidR="00A64F44">
        <w:rPr>
          <w:rFonts w:cs="Arial"/>
          <w:sz w:val="22"/>
          <w:szCs w:val="22"/>
        </w:rPr>
        <w:t xml:space="preserve"> (2014) or 5</w:t>
      </w:r>
      <w:r w:rsidR="00A64F44" w:rsidRPr="00A64F44">
        <w:rPr>
          <w:rFonts w:cs="Arial"/>
          <w:sz w:val="22"/>
          <w:szCs w:val="22"/>
          <w:vertAlign w:val="superscript"/>
        </w:rPr>
        <w:t>th</w:t>
      </w:r>
      <w:r w:rsidR="00A64F44">
        <w:rPr>
          <w:rFonts w:cs="Arial"/>
          <w:sz w:val="22"/>
          <w:szCs w:val="22"/>
        </w:rPr>
        <w:t xml:space="preserve"> (2017) edition by Mary-Jane Schneider. Jones &amp; Bartlett Publishers</w:t>
      </w:r>
    </w:p>
    <w:p w:rsidR="00BD3659" w:rsidRPr="00902BB4" w:rsidRDefault="00BD3659" w:rsidP="00F055AB">
      <w:pPr>
        <w:spacing w:line="276" w:lineRule="auto"/>
        <w:rPr>
          <w:rFonts w:cs="Arial"/>
          <w:sz w:val="22"/>
          <w:szCs w:val="22"/>
        </w:rPr>
      </w:pPr>
      <w:r w:rsidRPr="00902BB4">
        <w:rPr>
          <w:rFonts w:cs="Arial"/>
          <w:sz w:val="22"/>
          <w:szCs w:val="22"/>
        </w:rPr>
        <w:t>.</w:t>
      </w:r>
    </w:p>
    <w:p w:rsidR="007A0431" w:rsidRPr="00902BB4" w:rsidRDefault="007A0431" w:rsidP="00F055AB">
      <w:pPr>
        <w:spacing w:line="276" w:lineRule="auto"/>
        <w:rPr>
          <w:rFonts w:cs="Arial"/>
          <w:b/>
          <w:sz w:val="22"/>
          <w:szCs w:val="22"/>
        </w:rPr>
      </w:pPr>
      <w:r w:rsidRPr="00902BB4">
        <w:rPr>
          <w:rFonts w:cs="Arial"/>
          <w:b/>
          <w:sz w:val="22"/>
          <w:szCs w:val="22"/>
        </w:rPr>
        <w:t>Learning Goals:</w:t>
      </w:r>
      <w:r w:rsidR="00902BB4">
        <w:rPr>
          <w:rFonts w:cs="Arial"/>
          <w:b/>
          <w:sz w:val="22"/>
          <w:szCs w:val="22"/>
        </w:rPr>
        <w:br/>
      </w:r>
    </w:p>
    <w:p w:rsidR="00902BB4" w:rsidRPr="00902BB4" w:rsidRDefault="00902BB4" w:rsidP="00902BB4">
      <w:pPr>
        <w:rPr>
          <w:rFonts w:cs="Arial"/>
          <w:bCs/>
          <w:sz w:val="22"/>
          <w:szCs w:val="22"/>
        </w:rPr>
      </w:pPr>
      <w:r w:rsidRPr="00902BB4">
        <w:rPr>
          <w:rFonts w:cs="Arial"/>
          <w:b/>
          <w:bCs/>
          <w:sz w:val="22"/>
          <w:szCs w:val="22"/>
        </w:rPr>
        <w:t>Institutional Student Learning Outcomes</w:t>
      </w:r>
      <w:r>
        <w:rPr>
          <w:rFonts w:cs="Arial"/>
          <w:bCs/>
          <w:sz w:val="22"/>
          <w:szCs w:val="22"/>
        </w:rPr>
        <w:t xml:space="preserve"> addressed in this course include</w:t>
      </w:r>
    </w:p>
    <w:p w:rsidR="00902BB4" w:rsidRDefault="00902BB4" w:rsidP="00902BB4">
      <w:pPr>
        <w:numPr>
          <w:ilvl w:val="0"/>
          <w:numId w:val="11"/>
        </w:numPr>
        <w:rPr>
          <w:rFonts w:cs="Arial"/>
          <w:sz w:val="22"/>
          <w:szCs w:val="22"/>
        </w:rPr>
      </w:pPr>
      <w:r w:rsidRPr="00902BB4">
        <w:rPr>
          <w:rFonts w:cs="Arial"/>
          <w:sz w:val="22"/>
          <w:szCs w:val="22"/>
        </w:rPr>
        <w:t>intellectual breadth through the study of natural sciences</w:t>
      </w:r>
      <w:r>
        <w:rPr>
          <w:rFonts w:cs="Arial"/>
          <w:sz w:val="22"/>
          <w:szCs w:val="22"/>
        </w:rPr>
        <w:t>.</w:t>
      </w:r>
    </w:p>
    <w:p w:rsidR="00902BB4" w:rsidRPr="00902BB4" w:rsidRDefault="00902BB4" w:rsidP="00902BB4">
      <w:pPr>
        <w:numPr>
          <w:ilvl w:val="0"/>
          <w:numId w:val="11"/>
        </w:numPr>
        <w:rPr>
          <w:rFonts w:cs="Arial"/>
          <w:sz w:val="22"/>
          <w:szCs w:val="22"/>
        </w:rPr>
      </w:pPr>
      <w:r>
        <w:rPr>
          <w:rFonts w:cs="Arial"/>
          <w:sz w:val="22"/>
          <w:szCs w:val="22"/>
        </w:rPr>
        <w:t>communication</w:t>
      </w:r>
      <w:r w:rsidRPr="00902BB4">
        <w:rPr>
          <w:rFonts w:cs="Arial"/>
          <w:sz w:val="22"/>
          <w:szCs w:val="22"/>
        </w:rPr>
        <w:t xml:space="preserve"> effectively in both written and oral forms</w:t>
      </w:r>
    </w:p>
    <w:p w:rsidR="00902BB4" w:rsidRPr="00902BB4" w:rsidRDefault="00902BB4" w:rsidP="00902BB4">
      <w:pPr>
        <w:numPr>
          <w:ilvl w:val="0"/>
          <w:numId w:val="11"/>
        </w:numPr>
        <w:rPr>
          <w:rFonts w:cs="Arial"/>
          <w:sz w:val="22"/>
          <w:szCs w:val="22"/>
        </w:rPr>
      </w:pPr>
      <w:r>
        <w:rPr>
          <w:rFonts w:cs="Arial"/>
          <w:sz w:val="22"/>
          <w:szCs w:val="22"/>
        </w:rPr>
        <w:t>ability</w:t>
      </w:r>
      <w:r w:rsidRPr="00902BB4">
        <w:rPr>
          <w:rFonts w:cs="Arial"/>
          <w:sz w:val="22"/>
          <w:szCs w:val="22"/>
        </w:rPr>
        <w:t xml:space="preserve"> to think critically</w:t>
      </w:r>
    </w:p>
    <w:p w:rsidR="00902BB4" w:rsidRPr="00902BB4" w:rsidRDefault="00902BB4" w:rsidP="00902BB4">
      <w:pPr>
        <w:numPr>
          <w:ilvl w:val="0"/>
          <w:numId w:val="11"/>
        </w:numPr>
        <w:rPr>
          <w:rFonts w:cs="Arial"/>
          <w:sz w:val="22"/>
          <w:szCs w:val="22"/>
        </w:rPr>
      </w:pPr>
      <w:r>
        <w:rPr>
          <w:rFonts w:cs="Arial"/>
          <w:sz w:val="22"/>
          <w:szCs w:val="22"/>
        </w:rPr>
        <w:t>demonstration of</w:t>
      </w:r>
      <w:r w:rsidRPr="00902BB4">
        <w:rPr>
          <w:rFonts w:cs="Arial"/>
          <w:sz w:val="22"/>
          <w:szCs w:val="22"/>
        </w:rPr>
        <w:t xml:space="preserve"> information literacy skills and technological competence appropriate for his/her discipline</w:t>
      </w:r>
      <w:r>
        <w:rPr>
          <w:rFonts w:cs="Arial"/>
          <w:sz w:val="22"/>
          <w:szCs w:val="22"/>
        </w:rPr>
        <w:br/>
      </w:r>
    </w:p>
    <w:p w:rsidR="007A0431" w:rsidRPr="00902BB4" w:rsidRDefault="007A0431" w:rsidP="00F055AB">
      <w:pPr>
        <w:spacing w:line="276" w:lineRule="auto"/>
        <w:rPr>
          <w:rFonts w:cs="Arial"/>
          <w:bCs/>
          <w:sz w:val="22"/>
          <w:szCs w:val="22"/>
        </w:rPr>
      </w:pPr>
      <w:r w:rsidRPr="00902BB4">
        <w:rPr>
          <w:rFonts w:cs="Arial"/>
          <w:b/>
          <w:sz w:val="22"/>
          <w:szCs w:val="22"/>
        </w:rPr>
        <w:t>Content Knowledge:</w:t>
      </w:r>
      <w:r w:rsidRPr="00902BB4">
        <w:rPr>
          <w:rFonts w:cs="Arial"/>
          <w:bCs/>
          <w:sz w:val="22"/>
          <w:szCs w:val="22"/>
        </w:rPr>
        <w:t xml:space="preserve"> Students should understand</w:t>
      </w:r>
    </w:p>
    <w:p w:rsidR="007A0431" w:rsidRDefault="00161C22" w:rsidP="00F055AB">
      <w:pPr>
        <w:numPr>
          <w:ilvl w:val="0"/>
          <w:numId w:val="3"/>
        </w:numPr>
        <w:spacing w:line="276" w:lineRule="auto"/>
        <w:rPr>
          <w:rFonts w:cs="Arial"/>
          <w:bCs/>
          <w:sz w:val="22"/>
          <w:szCs w:val="22"/>
        </w:rPr>
      </w:pPr>
      <w:r>
        <w:rPr>
          <w:rFonts w:cs="Arial"/>
          <w:bCs/>
          <w:sz w:val="22"/>
          <w:szCs w:val="22"/>
        </w:rPr>
        <w:t>The</w:t>
      </w:r>
      <w:r w:rsidR="005C4959">
        <w:rPr>
          <w:rFonts w:cs="Arial"/>
          <w:bCs/>
          <w:sz w:val="22"/>
          <w:szCs w:val="22"/>
        </w:rPr>
        <w:t xml:space="preserve"> breadth of public health</w:t>
      </w:r>
      <w:r w:rsidR="00A659D4">
        <w:rPr>
          <w:rFonts w:cs="Arial"/>
          <w:bCs/>
          <w:sz w:val="22"/>
          <w:szCs w:val="22"/>
        </w:rPr>
        <w:t xml:space="preserve"> issues</w:t>
      </w:r>
    </w:p>
    <w:p w:rsidR="00B06C15" w:rsidRDefault="00B06C15" w:rsidP="00F055AB">
      <w:pPr>
        <w:numPr>
          <w:ilvl w:val="0"/>
          <w:numId w:val="3"/>
        </w:numPr>
        <w:spacing w:line="276" w:lineRule="auto"/>
        <w:rPr>
          <w:rFonts w:cs="Arial"/>
          <w:bCs/>
          <w:sz w:val="22"/>
          <w:szCs w:val="22"/>
        </w:rPr>
      </w:pPr>
      <w:r>
        <w:rPr>
          <w:rFonts w:cs="Arial"/>
          <w:bCs/>
          <w:sz w:val="22"/>
          <w:szCs w:val="22"/>
        </w:rPr>
        <w:t>Different perceptions of public health issues by different stakeholders</w:t>
      </w:r>
    </w:p>
    <w:p w:rsidR="00B06C15" w:rsidRDefault="00B06C15" w:rsidP="00F055AB">
      <w:pPr>
        <w:numPr>
          <w:ilvl w:val="0"/>
          <w:numId w:val="3"/>
        </w:numPr>
        <w:spacing w:line="276" w:lineRule="auto"/>
        <w:rPr>
          <w:rFonts w:cs="Arial"/>
          <w:bCs/>
          <w:sz w:val="22"/>
          <w:szCs w:val="22"/>
        </w:rPr>
      </w:pPr>
      <w:r>
        <w:rPr>
          <w:rFonts w:cs="Arial"/>
          <w:bCs/>
          <w:sz w:val="22"/>
          <w:szCs w:val="22"/>
        </w:rPr>
        <w:t>The terminology and concepts of public health</w:t>
      </w:r>
    </w:p>
    <w:p w:rsidR="005C4959" w:rsidRDefault="00A659D4" w:rsidP="00F055AB">
      <w:pPr>
        <w:numPr>
          <w:ilvl w:val="0"/>
          <w:numId w:val="3"/>
        </w:numPr>
        <w:spacing w:line="276" w:lineRule="auto"/>
        <w:rPr>
          <w:rFonts w:cs="Arial"/>
          <w:bCs/>
          <w:sz w:val="22"/>
          <w:szCs w:val="22"/>
        </w:rPr>
      </w:pPr>
      <w:r>
        <w:rPr>
          <w:rFonts w:cs="Arial"/>
          <w:bCs/>
          <w:sz w:val="22"/>
          <w:szCs w:val="22"/>
        </w:rPr>
        <w:t>The use of the scientific method to investigate public health questions</w:t>
      </w:r>
    </w:p>
    <w:p w:rsidR="00B06C15" w:rsidRPr="00902BB4" w:rsidRDefault="00B06C15" w:rsidP="00F055AB">
      <w:pPr>
        <w:numPr>
          <w:ilvl w:val="0"/>
          <w:numId w:val="3"/>
        </w:numPr>
        <w:spacing w:line="276" w:lineRule="auto"/>
        <w:rPr>
          <w:rFonts w:cs="Arial"/>
          <w:bCs/>
          <w:sz w:val="22"/>
          <w:szCs w:val="22"/>
        </w:rPr>
      </w:pPr>
      <w:r>
        <w:rPr>
          <w:rFonts w:cs="Arial"/>
          <w:bCs/>
          <w:sz w:val="22"/>
          <w:szCs w:val="22"/>
        </w:rPr>
        <w:t>The role of government and non-governmental organizations in the formulation and implementation of public health policies</w:t>
      </w:r>
    </w:p>
    <w:p w:rsidR="007A0431" w:rsidRPr="00902BB4" w:rsidRDefault="007A0431" w:rsidP="00F055AB">
      <w:pPr>
        <w:spacing w:line="276" w:lineRule="auto"/>
        <w:rPr>
          <w:rFonts w:cs="Arial"/>
          <w:bCs/>
          <w:sz w:val="22"/>
          <w:szCs w:val="22"/>
        </w:rPr>
      </w:pPr>
    </w:p>
    <w:p w:rsidR="007A0431" w:rsidRPr="00902BB4" w:rsidRDefault="007A0431" w:rsidP="00F055AB">
      <w:pPr>
        <w:spacing w:line="276" w:lineRule="auto"/>
        <w:rPr>
          <w:rFonts w:cs="Arial"/>
          <w:bCs/>
          <w:sz w:val="22"/>
          <w:szCs w:val="22"/>
        </w:rPr>
      </w:pPr>
      <w:r w:rsidRPr="00902BB4">
        <w:rPr>
          <w:rFonts w:cs="Arial"/>
          <w:b/>
          <w:sz w:val="22"/>
          <w:szCs w:val="22"/>
        </w:rPr>
        <w:t>Skills</w:t>
      </w:r>
      <w:r w:rsidRPr="00902BB4">
        <w:rPr>
          <w:rFonts w:cs="Arial"/>
          <w:bCs/>
          <w:sz w:val="22"/>
          <w:szCs w:val="22"/>
        </w:rPr>
        <w:t>: Students should be able to:</w:t>
      </w:r>
    </w:p>
    <w:p w:rsidR="00DC270F" w:rsidRDefault="007A0431" w:rsidP="00F055AB">
      <w:pPr>
        <w:numPr>
          <w:ilvl w:val="0"/>
          <w:numId w:val="4"/>
        </w:numPr>
        <w:spacing w:line="276" w:lineRule="auto"/>
        <w:rPr>
          <w:rFonts w:cs="Arial"/>
          <w:bCs/>
          <w:sz w:val="22"/>
          <w:szCs w:val="22"/>
        </w:rPr>
      </w:pPr>
      <w:r w:rsidRPr="00902BB4">
        <w:rPr>
          <w:rFonts w:cs="Arial"/>
          <w:bCs/>
          <w:sz w:val="22"/>
          <w:szCs w:val="22"/>
        </w:rPr>
        <w:t xml:space="preserve">Generate questions and </w:t>
      </w:r>
      <w:r w:rsidR="00DC270F">
        <w:rPr>
          <w:rFonts w:cs="Arial"/>
          <w:bCs/>
          <w:sz w:val="22"/>
          <w:szCs w:val="22"/>
        </w:rPr>
        <w:t>research the literature to identify possible answers</w:t>
      </w:r>
    </w:p>
    <w:p w:rsidR="00DC270F" w:rsidRDefault="00DC270F" w:rsidP="00F055AB">
      <w:pPr>
        <w:numPr>
          <w:ilvl w:val="0"/>
          <w:numId w:val="4"/>
        </w:numPr>
        <w:spacing w:line="276" w:lineRule="auto"/>
        <w:rPr>
          <w:rFonts w:cs="Arial"/>
          <w:bCs/>
          <w:sz w:val="22"/>
          <w:szCs w:val="22"/>
        </w:rPr>
      </w:pPr>
      <w:r>
        <w:rPr>
          <w:rFonts w:cs="Arial"/>
          <w:bCs/>
          <w:sz w:val="22"/>
          <w:szCs w:val="22"/>
        </w:rPr>
        <w:t>Interpret published data to draw conclusions based on evidence</w:t>
      </w:r>
    </w:p>
    <w:p w:rsidR="00DC270F" w:rsidRDefault="00DC270F" w:rsidP="00F055AB">
      <w:pPr>
        <w:numPr>
          <w:ilvl w:val="0"/>
          <w:numId w:val="4"/>
        </w:numPr>
        <w:spacing w:line="276" w:lineRule="auto"/>
        <w:rPr>
          <w:rFonts w:cs="Arial"/>
          <w:bCs/>
          <w:sz w:val="22"/>
          <w:szCs w:val="22"/>
        </w:rPr>
      </w:pPr>
      <w:r>
        <w:rPr>
          <w:rFonts w:cs="Arial"/>
          <w:bCs/>
          <w:sz w:val="22"/>
          <w:szCs w:val="22"/>
        </w:rPr>
        <w:t>Integrate and summarize multiple information sources</w:t>
      </w:r>
    </w:p>
    <w:p w:rsidR="007A0431" w:rsidRDefault="00DC270F" w:rsidP="00F055AB">
      <w:pPr>
        <w:numPr>
          <w:ilvl w:val="0"/>
          <w:numId w:val="4"/>
        </w:numPr>
        <w:spacing w:line="276" w:lineRule="auto"/>
        <w:rPr>
          <w:rFonts w:cs="Arial"/>
          <w:bCs/>
          <w:sz w:val="22"/>
          <w:szCs w:val="22"/>
        </w:rPr>
      </w:pPr>
      <w:r>
        <w:rPr>
          <w:rFonts w:cs="Arial"/>
          <w:bCs/>
          <w:sz w:val="22"/>
          <w:szCs w:val="22"/>
        </w:rPr>
        <w:t xml:space="preserve">Present summarized information to peers using </w:t>
      </w:r>
      <w:r w:rsidR="00947FE6">
        <w:rPr>
          <w:rFonts w:cs="Arial"/>
          <w:bCs/>
          <w:sz w:val="22"/>
          <w:szCs w:val="22"/>
        </w:rPr>
        <w:t>technology</w:t>
      </w:r>
    </w:p>
    <w:p w:rsidR="00947FE6" w:rsidRPr="00947FE6" w:rsidRDefault="00947FE6" w:rsidP="00947FE6">
      <w:pPr>
        <w:numPr>
          <w:ilvl w:val="0"/>
          <w:numId w:val="4"/>
        </w:numPr>
        <w:spacing w:line="276" w:lineRule="auto"/>
        <w:rPr>
          <w:rFonts w:cs="Arial"/>
          <w:bCs/>
          <w:sz w:val="22"/>
          <w:szCs w:val="22"/>
        </w:rPr>
      </w:pPr>
      <w:r>
        <w:rPr>
          <w:rFonts w:cs="Arial"/>
          <w:bCs/>
          <w:sz w:val="22"/>
          <w:szCs w:val="22"/>
        </w:rPr>
        <w:t>Write persuasively to make a case for a particular viewpoint</w:t>
      </w:r>
    </w:p>
    <w:p w:rsidR="00947FE6" w:rsidRDefault="00947FE6">
      <w:pPr>
        <w:rPr>
          <w:rFonts w:cs="Arial"/>
          <w:b/>
          <w:sz w:val="22"/>
          <w:szCs w:val="22"/>
        </w:rPr>
      </w:pPr>
      <w:r>
        <w:rPr>
          <w:rFonts w:cs="Arial"/>
          <w:b/>
          <w:sz w:val="22"/>
          <w:szCs w:val="22"/>
        </w:rPr>
        <w:br w:type="page"/>
      </w:r>
    </w:p>
    <w:p w:rsidR="00902BB4" w:rsidRDefault="008D46D7" w:rsidP="002845B8">
      <w:pPr>
        <w:rPr>
          <w:rFonts w:cs="Arial"/>
          <w:sz w:val="22"/>
          <w:szCs w:val="22"/>
        </w:rPr>
      </w:pPr>
      <w:r>
        <w:rPr>
          <w:rFonts w:cs="Arial"/>
          <w:b/>
          <w:sz w:val="22"/>
          <w:szCs w:val="22"/>
        </w:rPr>
        <w:lastRenderedPageBreak/>
        <w:t>Course Organization</w:t>
      </w:r>
    </w:p>
    <w:p w:rsidR="008D46D7" w:rsidRDefault="008D46D7" w:rsidP="002845B8">
      <w:pPr>
        <w:rPr>
          <w:rFonts w:cs="Arial"/>
          <w:sz w:val="22"/>
          <w:szCs w:val="22"/>
        </w:rPr>
      </w:pPr>
    </w:p>
    <w:p w:rsidR="008D46D7" w:rsidRPr="008D46D7" w:rsidRDefault="008D46D7" w:rsidP="002845B8">
      <w:pPr>
        <w:rPr>
          <w:rFonts w:cs="Arial"/>
          <w:sz w:val="22"/>
          <w:szCs w:val="22"/>
        </w:rPr>
      </w:pPr>
      <w:r>
        <w:rPr>
          <w:rFonts w:cs="Arial"/>
          <w:sz w:val="22"/>
          <w:szCs w:val="22"/>
        </w:rPr>
        <w:t xml:space="preserve">During weeks 1 &amp; 2, the basic principles of public health will be discussed and each of the 9 or 10 groups of 4 </w:t>
      </w:r>
      <w:r w:rsidR="00947FE6">
        <w:rPr>
          <w:rFonts w:cs="Arial"/>
          <w:sz w:val="22"/>
          <w:szCs w:val="22"/>
        </w:rPr>
        <w:t xml:space="preserve">students </w:t>
      </w:r>
      <w:r>
        <w:rPr>
          <w:rFonts w:cs="Arial"/>
          <w:sz w:val="22"/>
          <w:szCs w:val="22"/>
        </w:rPr>
        <w:t xml:space="preserve">will select one of the broad topics to lead. During week 3, groups will research the broad topic early in </w:t>
      </w:r>
      <w:r w:rsidR="00271D05">
        <w:rPr>
          <w:rFonts w:cs="Arial"/>
          <w:sz w:val="22"/>
          <w:szCs w:val="22"/>
        </w:rPr>
        <w:t>the week, meet to select 10 sub</w:t>
      </w:r>
      <w:r>
        <w:rPr>
          <w:rFonts w:cs="Arial"/>
          <w:sz w:val="22"/>
          <w:szCs w:val="22"/>
        </w:rPr>
        <w:t>topics, then develop an annotated bibliography with 20 peer-reviewed sources (5 per person, 2 per sub-topic).</w:t>
      </w:r>
      <w:r w:rsidR="00271D05">
        <w:rPr>
          <w:rFonts w:cs="Arial"/>
          <w:sz w:val="22"/>
          <w:szCs w:val="22"/>
        </w:rPr>
        <w:t xml:space="preserve"> The annotated bibliographies and subtopics will be used during the scheduled week for that topic. Each group will select a subtopic to present (4-8 </w:t>
      </w:r>
      <w:proofErr w:type="spellStart"/>
      <w:r w:rsidR="00271D05">
        <w:rPr>
          <w:rFonts w:cs="Arial"/>
          <w:sz w:val="22"/>
          <w:szCs w:val="22"/>
        </w:rPr>
        <w:t>ppt</w:t>
      </w:r>
      <w:proofErr w:type="spellEnd"/>
      <w:r w:rsidR="00271D05">
        <w:rPr>
          <w:rFonts w:cs="Arial"/>
          <w:sz w:val="22"/>
          <w:szCs w:val="22"/>
        </w:rPr>
        <w:t xml:space="preserve"> slides) on the third day of the larger topic</w:t>
      </w:r>
    </w:p>
    <w:p w:rsidR="008D46D7" w:rsidRDefault="008D46D7" w:rsidP="002845B8">
      <w:pPr>
        <w:rPr>
          <w:rFonts w:cs="Arial"/>
          <w:b/>
          <w:sz w:val="22"/>
          <w:szCs w:val="22"/>
        </w:rPr>
      </w:pPr>
    </w:p>
    <w:p w:rsidR="007A0431" w:rsidRPr="00902BB4" w:rsidRDefault="007A0431" w:rsidP="002845B8">
      <w:pPr>
        <w:rPr>
          <w:rFonts w:cs="Arial"/>
          <w:sz w:val="22"/>
          <w:szCs w:val="22"/>
        </w:rPr>
      </w:pPr>
      <w:r w:rsidRPr="00902BB4">
        <w:rPr>
          <w:rFonts w:cs="Arial"/>
          <w:b/>
          <w:sz w:val="22"/>
          <w:szCs w:val="22"/>
        </w:rPr>
        <w:t>Grades</w:t>
      </w:r>
      <w:r w:rsidRPr="00902BB4">
        <w:rPr>
          <w:rFonts w:cs="Arial"/>
          <w:sz w:val="22"/>
          <w:szCs w:val="22"/>
        </w:rPr>
        <w:t xml:space="preserve"> will be determined based on the following assessments:</w:t>
      </w:r>
      <w:r w:rsidR="001676EC" w:rsidRPr="00902BB4">
        <w:rPr>
          <w:rFonts w:cs="Arial"/>
          <w:sz w:val="22"/>
          <w:szCs w:val="22"/>
        </w:rPr>
        <w:br/>
      </w:r>
    </w:p>
    <w:tbl>
      <w:tblPr>
        <w:tblW w:w="8527"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7"/>
        <w:gridCol w:w="3150"/>
      </w:tblGrid>
      <w:tr w:rsidR="00F055AB" w:rsidRPr="00902BB4" w:rsidTr="00AD4B80">
        <w:tc>
          <w:tcPr>
            <w:tcW w:w="5377" w:type="dxa"/>
            <w:shd w:val="clear" w:color="auto" w:fill="auto"/>
          </w:tcPr>
          <w:p w:rsidR="00FA58A7" w:rsidRPr="00902BB4" w:rsidRDefault="00271D05" w:rsidP="003D6DB9">
            <w:pPr>
              <w:spacing w:line="276" w:lineRule="auto"/>
              <w:rPr>
                <w:rFonts w:cs="Arial"/>
                <w:sz w:val="22"/>
                <w:szCs w:val="22"/>
              </w:rPr>
            </w:pPr>
            <w:r>
              <w:rPr>
                <w:rFonts w:cs="Arial"/>
                <w:sz w:val="22"/>
                <w:szCs w:val="22"/>
              </w:rPr>
              <w:t>Issue</w:t>
            </w:r>
            <w:r w:rsidR="00FA58A7" w:rsidRPr="00902BB4">
              <w:rPr>
                <w:rFonts w:cs="Arial"/>
                <w:sz w:val="22"/>
                <w:szCs w:val="22"/>
              </w:rPr>
              <w:t xml:space="preserve"> </w:t>
            </w:r>
            <w:r w:rsidR="00F055AB" w:rsidRPr="00902BB4">
              <w:rPr>
                <w:rFonts w:cs="Arial"/>
                <w:sz w:val="22"/>
                <w:szCs w:val="22"/>
              </w:rPr>
              <w:t>Exams</w:t>
            </w:r>
            <w:r w:rsidR="00FA58A7" w:rsidRPr="00902BB4">
              <w:rPr>
                <w:rFonts w:cs="Arial"/>
                <w:sz w:val="22"/>
                <w:szCs w:val="22"/>
              </w:rPr>
              <w:t xml:space="preserve"> </w:t>
            </w:r>
          </w:p>
          <w:p w:rsidR="00FA58A7" w:rsidRPr="00902BB4" w:rsidRDefault="00271D05" w:rsidP="003D6DB9">
            <w:pPr>
              <w:spacing w:line="276" w:lineRule="auto"/>
              <w:rPr>
                <w:rFonts w:cs="Arial"/>
                <w:sz w:val="22"/>
                <w:szCs w:val="22"/>
              </w:rPr>
            </w:pPr>
            <w:r>
              <w:rPr>
                <w:rFonts w:cs="Arial"/>
                <w:sz w:val="22"/>
                <w:szCs w:val="22"/>
              </w:rPr>
              <w:t>Quiz</w:t>
            </w:r>
          </w:p>
          <w:p w:rsidR="00FA58A7" w:rsidRPr="00902BB4" w:rsidRDefault="00271D05" w:rsidP="003D6DB9">
            <w:pPr>
              <w:spacing w:line="276" w:lineRule="auto"/>
              <w:rPr>
                <w:rFonts w:cs="Arial"/>
                <w:sz w:val="22"/>
                <w:szCs w:val="22"/>
              </w:rPr>
            </w:pPr>
            <w:r>
              <w:rPr>
                <w:rFonts w:cs="Arial"/>
                <w:sz w:val="22"/>
                <w:szCs w:val="22"/>
              </w:rPr>
              <w:t>Annotated Bibliography</w:t>
            </w:r>
            <w:r w:rsidR="00FA58A7" w:rsidRPr="00902BB4">
              <w:rPr>
                <w:rFonts w:cs="Arial"/>
                <w:sz w:val="22"/>
                <w:szCs w:val="22"/>
              </w:rPr>
              <w:t xml:space="preserve"> </w:t>
            </w:r>
          </w:p>
          <w:p w:rsidR="007A78DA" w:rsidRPr="00902BB4" w:rsidRDefault="00271D05" w:rsidP="003D6DB9">
            <w:pPr>
              <w:spacing w:line="276" w:lineRule="auto"/>
              <w:rPr>
                <w:rFonts w:cs="Arial"/>
                <w:sz w:val="22"/>
                <w:szCs w:val="22"/>
              </w:rPr>
            </w:pPr>
            <w:r>
              <w:rPr>
                <w:rFonts w:cs="Arial"/>
                <w:sz w:val="22"/>
                <w:szCs w:val="22"/>
              </w:rPr>
              <w:t xml:space="preserve">Research/summary paper </w:t>
            </w:r>
            <w:r w:rsidR="00AD4B80">
              <w:rPr>
                <w:rFonts w:cs="Arial"/>
                <w:sz w:val="22"/>
                <w:szCs w:val="22"/>
              </w:rPr>
              <w:t>(5</w:t>
            </w:r>
            <w:r w:rsidR="002845B8">
              <w:rPr>
                <w:rFonts w:cs="Arial"/>
                <w:sz w:val="22"/>
                <w:szCs w:val="22"/>
              </w:rPr>
              <w:t>-8</w:t>
            </w:r>
            <w:r w:rsidR="00AD4B80">
              <w:rPr>
                <w:rFonts w:cs="Arial"/>
                <w:sz w:val="22"/>
                <w:szCs w:val="22"/>
              </w:rPr>
              <w:t xml:space="preserve"> pages) </w:t>
            </w:r>
            <w:r>
              <w:rPr>
                <w:rFonts w:cs="Arial"/>
                <w:sz w:val="22"/>
                <w:szCs w:val="22"/>
              </w:rPr>
              <w:t>on a subtopic</w:t>
            </w:r>
          </w:p>
          <w:p w:rsidR="00FA58A7" w:rsidRPr="00902BB4" w:rsidRDefault="00AD4B80" w:rsidP="003D6DB9">
            <w:pPr>
              <w:spacing w:line="276" w:lineRule="auto"/>
              <w:rPr>
                <w:rFonts w:cs="Arial"/>
                <w:sz w:val="22"/>
                <w:szCs w:val="22"/>
              </w:rPr>
            </w:pPr>
            <w:r>
              <w:rPr>
                <w:rFonts w:cs="Arial"/>
                <w:sz w:val="22"/>
                <w:szCs w:val="22"/>
              </w:rPr>
              <w:t>PowerPoint on a subtopic</w:t>
            </w:r>
            <w:r w:rsidR="00FA58A7" w:rsidRPr="00902BB4">
              <w:rPr>
                <w:rFonts w:cs="Arial"/>
                <w:sz w:val="22"/>
                <w:szCs w:val="22"/>
              </w:rPr>
              <w:t xml:space="preserve"> </w:t>
            </w:r>
          </w:p>
          <w:p w:rsidR="00FA58A7" w:rsidRPr="00902BB4" w:rsidRDefault="00AD4B80" w:rsidP="00AD4B80">
            <w:pPr>
              <w:spacing w:line="276" w:lineRule="auto"/>
              <w:rPr>
                <w:rFonts w:cs="Arial"/>
                <w:b/>
                <w:sz w:val="22"/>
                <w:szCs w:val="22"/>
              </w:rPr>
            </w:pPr>
            <w:r>
              <w:rPr>
                <w:rFonts w:cs="Arial"/>
                <w:sz w:val="22"/>
                <w:szCs w:val="22"/>
              </w:rPr>
              <w:softHyphen/>
            </w:r>
            <w:r>
              <w:rPr>
                <w:rFonts w:cs="Arial"/>
                <w:sz w:val="22"/>
                <w:szCs w:val="22"/>
              </w:rPr>
              <w:softHyphen/>
            </w:r>
            <w:r w:rsidR="00FA58A7" w:rsidRPr="00902BB4">
              <w:rPr>
                <w:rFonts w:cs="Arial"/>
                <w:b/>
                <w:sz w:val="22"/>
                <w:szCs w:val="22"/>
              </w:rPr>
              <w:t>Total possible</w:t>
            </w:r>
          </w:p>
        </w:tc>
        <w:tc>
          <w:tcPr>
            <w:tcW w:w="3150" w:type="dxa"/>
            <w:shd w:val="clear" w:color="auto" w:fill="auto"/>
          </w:tcPr>
          <w:p w:rsidR="00FA58A7" w:rsidRPr="00902BB4" w:rsidRDefault="00746F55" w:rsidP="003D6DB9">
            <w:pPr>
              <w:spacing w:line="276" w:lineRule="auto"/>
              <w:jc w:val="right"/>
              <w:rPr>
                <w:rFonts w:cs="Arial"/>
                <w:sz w:val="22"/>
                <w:szCs w:val="22"/>
              </w:rPr>
            </w:pPr>
            <w:r w:rsidRPr="00902BB4">
              <w:rPr>
                <w:rFonts w:cs="Arial"/>
                <w:sz w:val="22"/>
                <w:szCs w:val="22"/>
              </w:rPr>
              <w:t>3</w:t>
            </w:r>
            <w:r w:rsidR="00271D05">
              <w:rPr>
                <w:rFonts w:cs="Arial"/>
                <w:sz w:val="22"/>
                <w:szCs w:val="22"/>
              </w:rPr>
              <w:t xml:space="preserve"> x 100 pts = 3</w:t>
            </w:r>
            <w:r w:rsidR="00F055AB" w:rsidRPr="00902BB4">
              <w:rPr>
                <w:rFonts w:cs="Arial"/>
                <w:sz w:val="22"/>
                <w:szCs w:val="22"/>
              </w:rPr>
              <w:t>00 pts</w:t>
            </w:r>
          </w:p>
          <w:p w:rsidR="00271D05" w:rsidRPr="00902BB4" w:rsidRDefault="00271D05" w:rsidP="00271D05">
            <w:pPr>
              <w:spacing w:line="276" w:lineRule="auto"/>
              <w:jc w:val="right"/>
              <w:rPr>
                <w:rFonts w:cs="Arial"/>
                <w:sz w:val="22"/>
                <w:szCs w:val="22"/>
              </w:rPr>
            </w:pPr>
            <w:r w:rsidRPr="00902BB4">
              <w:rPr>
                <w:rFonts w:cs="Arial"/>
                <w:sz w:val="22"/>
                <w:szCs w:val="22"/>
              </w:rPr>
              <w:t>50 pts</w:t>
            </w:r>
          </w:p>
          <w:p w:rsidR="00FA58A7" w:rsidRPr="00902BB4" w:rsidRDefault="00271D05" w:rsidP="003D6DB9">
            <w:pPr>
              <w:spacing w:line="276" w:lineRule="auto"/>
              <w:jc w:val="right"/>
              <w:rPr>
                <w:rFonts w:cs="Arial"/>
                <w:sz w:val="22"/>
                <w:szCs w:val="22"/>
              </w:rPr>
            </w:pPr>
            <w:r>
              <w:rPr>
                <w:rFonts w:cs="Arial"/>
                <w:sz w:val="22"/>
                <w:szCs w:val="22"/>
              </w:rPr>
              <w:t>5</w:t>
            </w:r>
            <w:r w:rsidR="00FA58A7" w:rsidRPr="00902BB4">
              <w:rPr>
                <w:rFonts w:cs="Arial"/>
                <w:sz w:val="22"/>
                <w:szCs w:val="22"/>
              </w:rPr>
              <w:t>0 pts</w:t>
            </w:r>
          </w:p>
          <w:p w:rsidR="00FA58A7" w:rsidRPr="00902BB4" w:rsidRDefault="00271D05" w:rsidP="003D6DB9">
            <w:pPr>
              <w:spacing w:line="276" w:lineRule="auto"/>
              <w:jc w:val="right"/>
              <w:rPr>
                <w:rFonts w:cs="Arial"/>
                <w:sz w:val="22"/>
                <w:szCs w:val="22"/>
              </w:rPr>
            </w:pPr>
            <w:r>
              <w:rPr>
                <w:rFonts w:cs="Arial"/>
                <w:sz w:val="22"/>
                <w:szCs w:val="22"/>
              </w:rPr>
              <w:t>10</w:t>
            </w:r>
            <w:r w:rsidR="00FA58A7" w:rsidRPr="00902BB4">
              <w:rPr>
                <w:rFonts w:cs="Arial"/>
                <w:sz w:val="22"/>
                <w:szCs w:val="22"/>
              </w:rPr>
              <w:t>0 pts</w:t>
            </w:r>
          </w:p>
          <w:p w:rsidR="00FA58A7" w:rsidRPr="00902BB4" w:rsidRDefault="00AD4B80" w:rsidP="003D6DB9">
            <w:pPr>
              <w:spacing w:line="276" w:lineRule="auto"/>
              <w:jc w:val="right"/>
              <w:rPr>
                <w:rFonts w:cs="Arial"/>
                <w:sz w:val="22"/>
                <w:szCs w:val="22"/>
                <w:u w:val="single"/>
              </w:rPr>
            </w:pPr>
            <w:r>
              <w:rPr>
                <w:rFonts w:cs="Arial"/>
                <w:sz w:val="22"/>
                <w:szCs w:val="22"/>
              </w:rPr>
              <w:t xml:space="preserve">10 x 10 </w:t>
            </w:r>
            <w:r w:rsidR="007A78DA" w:rsidRPr="00902BB4">
              <w:rPr>
                <w:rFonts w:cs="Arial"/>
                <w:sz w:val="22"/>
                <w:szCs w:val="22"/>
              </w:rPr>
              <w:t>pts</w:t>
            </w:r>
            <w:r>
              <w:rPr>
                <w:rFonts w:cs="Arial"/>
                <w:sz w:val="22"/>
                <w:szCs w:val="22"/>
              </w:rPr>
              <w:t xml:space="preserve"> = </w:t>
            </w:r>
            <w:r w:rsidR="00FA58A7" w:rsidRPr="00902BB4">
              <w:rPr>
                <w:rFonts w:cs="Arial"/>
                <w:sz w:val="22"/>
                <w:szCs w:val="22"/>
                <w:u w:val="single"/>
              </w:rPr>
              <w:t>100 pts</w:t>
            </w:r>
          </w:p>
          <w:p w:rsidR="00F055AB" w:rsidRPr="00902BB4" w:rsidRDefault="00AD4B80" w:rsidP="003D6DB9">
            <w:pPr>
              <w:spacing w:line="276" w:lineRule="auto"/>
              <w:jc w:val="right"/>
              <w:rPr>
                <w:rFonts w:cs="Arial"/>
                <w:b/>
                <w:sz w:val="22"/>
                <w:szCs w:val="22"/>
              </w:rPr>
            </w:pPr>
            <w:r>
              <w:rPr>
                <w:rFonts w:cs="Arial"/>
                <w:b/>
                <w:sz w:val="22"/>
                <w:szCs w:val="22"/>
              </w:rPr>
              <w:t>6</w:t>
            </w:r>
            <w:r w:rsidR="00A773BC" w:rsidRPr="00902BB4">
              <w:rPr>
                <w:rFonts w:cs="Arial"/>
                <w:b/>
                <w:sz w:val="22"/>
                <w:szCs w:val="22"/>
              </w:rPr>
              <w:t>0</w:t>
            </w:r>
            <w:r w:rsidR="00FA58A7" w:rsidRPr="00902BB4">
              <w:rPr>
                <w:rFonts w:cs="Arial"/>
                <w:b/>
                <w:sz w:val="22"/>
                <w:szCs w:val="22"/>
              </w:rPr>
              <w:t>0 pts</w:t>
            </w:r>
          </w:p>
        </w:tc>
      </w:tr>
    </w:tbl>
    <w:p w:rsidR="007A0431" w:rsidRPr="00902BB4" w:rsidRDefault="007A0431" w:rsidP="00F055AB">
      <w:pPr>
        <w:spacing w:line="276" w:lineRule="auto"/>
        <w:rPr>
          <w:rFonts w:cs="Arial"/>
          <w:sz w:val="22"/>
          <w:szCs w:val="22"/>
        </w:rPr>
      </w:pPr>
    </w:p>
    <w:p w:rsidR="00AB3F65" w:rsidRPr="00902BB4" w:rsidRDefault="00AB3F65" w:rsidP="00F055AB">
      <w:pPr>
        <w:pStyle w:val="Heading1"/>
        <w:spacing w:line="276" w:lineRule="auto"/>
        <w:rPr>
          <w:rFonts w:cs="Arial"/>
          <w:sz w:val="22"/>
          <w:szCs w:val="22"/>
        </w:rPr>
      </w:pPr>
      <w:r w:rsidRPr="00902BB4">
        <w:rPr>
          <w:rFonts w:cs="Arial"/>
          <w:sz w:val="22"/>
          <w:szCs w:val="22"/>
        </w:rPr>
        <w:t>Grading Scale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1915"/>
        <w:gridCol w:w="1915"/>
        <w:gridCol w:w="1915"/>
        <w:gridCol w:w="1916"/>
      </w:tblGrid>
      <w:tr w:rsidR="00AB3F65" w:rsidRPr="00902BB4" w:rsidTr="00B66C05">
        <w:trPr>
          <w:trHeight w:val="282"/>
        </w:trPr>
        <w:tc>
          <w:tcPr>
            <w:tcW w:w="1915" w:type="dxa"/>
            <w:vAlign w:val="center"/>
          </w:tcPr>
          <w:p w:rsidR="00AB3F65" w:rsidRPr="00A24E69" w:rsidRDefault="00AB3F65" w:rsidP="00F055AB">
            <w:pPr>
              <w:spacing w:line="276" w:lineRule="auto"/>
              <w:rPr>
                <w:rFonts w:cs="Arial"/>
                <w:sz w:val="20"/>
                <w:szCs w:val="22"/>
              </w:rPr>
            </w:pPr>
          </w:p>
        </w:tc>
        <w:tc>
          <w:tcPr>
            <w:tcW w:w="1915" w:type="dxa"/>
            <w:vAlign w:val="center"/>
          </w:tcPr>
          <w:p w:rsidR="00AB3F65" w:rsidRPr="00A24E69" w:rsidRDefault="00AB3F65" w:rsidP="00F055AB">
            <w:pPr>
              <w:spacing w:line="276" w:lineRule="auto"/>
              <w:rPr>
                <w:rFonts w:cs="Arial"/>
                <w:sz w:val="20"/>
                <w:szCs w:val="22"/>
              </w:rPr>
            </w:pPr>
            <w:r w:rsidRPr="00A24E69">
              <w:rPr>
                <w:rFonts w:cs="Arial"/>
                <w:sz w:val="20"/>
                <w:szCs w:val="22"/>
              </w:rPr>
              <w:t>B+ = 86.7 - 89.9%</w:t>
            </w:r>
          </w:p>
        </w:tc>
        <w:tc>
          <w:tcPr>
            <w:tcW w:w="1915" w:type="dxa"/>
            <w:vAlign w:val="center"/>
          </w:tcPr>
          <w:p w:rsidR="00AB3F65" w:rsidRPr="00A24E69" w:rsidRDefault="00AB3F65" w:rsidP="00F055AB">
            <w:pPr>
              <w:spacing w:line="276" w:lineRule="auto"/>
              <w:rPr>
                <w:rFonts w:cs="Arial"/>
                <w:sz w:val="20"/>
                <w:szCs w:val="22"/>
              </w:rPr>
            </w:pPr>
            <w:r w:rsidRPr="00A24E69">
              <w:rPr>
                <w:rFonts w:cs="Arial"/>
                <w:sz w:val="20"/>
                <w:szCs w:val="22"/>
              </w:rPr>
              <w:t>C+ = 76.7 – 79.9%</w:t>
            </w:r>
          </w:p>
        </w:tc>
        <w:tc>
          <w:tcPr>
            <w:tcW w:w="1915" w:type="dxa"/>
            <w:vAlign w:val="center"/>
          </w:tcPr>
          <w:p w:rsidR="00AB3F65" w:rsidRPr="00A24E69" w:rsidRDefault="00AB3F65" w:rsidP="00F055AB">
            <w:pPr>
              <w:spacing w:line="276" w:lineRule="auto"/>
              <w:rPr>
                <w:rFonts w:cs="Arial"/>
                <w:sz w:val="20"/>
                <w:szCs w:val="22"/>
              </w:rPr>
            </w:pPr>
            <w:r w:rsidRPr="00A24E69">
              <w:rPr>
                <w:rFonts w:cs="Arial"/>
                <w:sz w:val="20"/>
                <w:szCs w:val="22"/>
              </w:rPr>
              <w:t>D+ = 66.7 - 69.9%</w:t>
            </w:r>
          </w:p>
        </w:tc>
        <w:tc>
          <w:tcPr>
            <w:tcW w:w="1916" w:type="dxa"/>
            <w:vAlign w:val="center"/>
          </w:tcPr>
          <w:p w:rsidR="00AB3F65" w:rsidRPr="00A24E69" w:rsidRDefault="00AB3F65" w:rsidP="00F055AB">
            <w:pPr>
              <w:spacing w:line="276" w:lineRule="auto"/>
              <w:rPr>
                <w:rFonts w:cs="Arial"/>
                <w:sz w:val="20"/>
                <w:szCs w:val="22"/>
              </w:rPr>
            </w:pPr>
          </w:p>
        </w:tc>
      </w:tr>
      <w:tr w:rsidR="00AB3F65" w:rsidRPr="00902BB4" w:rsidTr="00B66C05">
        <w:trPr>
          <w:trHeight w:val="282"/>
        </w:trPr>
        <w:tc>
          <w:tcPr>
            <w:tcW w:w="1915" w:type="dxa"/>
            <w:vAlign w:val="center"/>
          </w:tcPr>
          <w:p w:rsidR="00AB3F65" w:rsidRPr="00A24E69" w:rsidRDefault="00AB3F65" w:rsidP="00F055AB">
            <w:pPr>
              <w:spacing w:line="276" w:lineRule="auto"/>
              <w:rPr>
                <w:rFonts w:cs="Arial"/>
                <w:sz w:val="20"/>
                <w:szCs w:val="22"/>
              </w:rPr>
            </w:pPr>
            <w:r w:rsidRPr="00A24E69">
              <w:rPr>
                <w:rFonts w:cs="Arial"/>
                <w:sz w:val="20"/>
                <w:szCs w:val="22"/>
              </w:rPr>
              <w:t>A = 93.3 – 100%</w:t>
            </w:r>
          </w:p>
        </w:tc>
        <w:tc>
          <w:tcPr>
            <w:tcW w:w="1915" w:type="dxa"/>
            <w:vAlign w:val="center"/>
          </w:tcPr>
          <w:p w:rsidR="00AB3F65" w:rsidRPr="00A24E69" w:rsidRDefault="00AB3F65" w:rsidP="00F055AB">
            <w:pPr>
              <w:spacing w:line="276" w:lineRule="auto"/>
              <w:rPr>
                <w:rFonts w:cs="Arial"/>
                <w:sz w:val="20"/>
                <w:szCs w:val="22"/>
              </w:rPr>
            </w:pPr>
            <w:r w:rsidRPr="00A24E69">
              <w:rPr>
                <w:rFonts w:cs="Arial"/>
                <w:sz w:val="20"/>
                <w:szCs w:val="22"/>
              </w:rPr>
              <w:t>B = 83.3 – 86.6%</w:t>
            </w:r>
          </w:p>
        </w:tc>
        <w:tc>
          <w:tcPr>
            <w:tcW w:w="1915" w:type="dxa"/>
            <w:vAlign w:val="center"/>
          </w:tcPr>
          <w:p w:rsidR="00AB3F65" w:rsidRPr="00A24E69" w:rsidRDefault="00AB3F65" w:rsidP="00F055AB">
            <w:pPr>
              <w:spacing w:line="276" w:lineRule="auto"/>
              <w:rPr>
                <w:rFonts w:cs="Arial"/>
                <w:sz w:val="20"/>
                <w:szCs w:val="22"/>
              </w:rPr>
            </w:pPr>
            <w:r w:rsidRPr="00A24E69">
              <w:rPr>
                <w:rFonts w:cs="Arial"/>
                <w:sz w:val="20"/>
                <w:szCs w:val="22"/>
              </w:rPr>
              <w:t>C = 73.3 – 76.6%</w:t>
            </w:r>
          </w:p>
        </w:tc>
        <w:tc>
          <w:tcPr>
            <w:tcW w:w="1915" w:type="dxa"/>
            <w:vAlign w:val="center"/>
          </w:tcPr>
          <w:p w:rsidR="00AB3F65" w:rsidRPr="00A24E69" w:rsidRDefault="00AB3F65" w:rsidP="00F055AB">
            <w:pPr>
              <w:spacing w:line="276" w:lineRule="auto"/>
              <w:rPr>
                <w:rFonts w:cs="Arial"/>
                <w:sz w:val="20"/>
                <w:szCs w:val="22"/>
              </w:rPr>
            </w:pPr>
            <w:r w:rsidRPr="00A24E69">
              <w:rPr>
                <w:rFonts w:cs="Arial"/>
                <w:sz w:val="20"/>
                <w:szCs w:val="22"/>
              </w:rPr>
              <w:t>D = 63.3 – 66.6%</w:t>
            </w:r>
          </w:p>
        </w:tc>
        <w:tc>
          <w:tcPr>
            <w:tcW w:w="1916" w:type="dxa"/>
            <w:vAlign w:val="center"/>
          </w:tcPr>
          <w:p w:rsidR="00AB3F65" w:rsidRPr="00A24E69" w:rsidRDefault="00AB3F65" w:rsidP="00F055AB">
            <w:pPr>
              <w:spacing w:line="276" w:lineRule="auto"/>
              <w:rPr>
                <w:rFonts w:cs="Arial"/>
                <w:sz w:val="20"/>
                <w:szCs w:val="22"/>
              </w:rPr>
            </w:pPr>
            <w:r w:rsidRPr="00A24E69">
              <w:rPr>
                <w:rFonts w:cs="Arial"/>
                <w:sz w:val="20"/>
                <w:szCs w:val="22"/>
              </w:rPr>
              <w:t>F= below 60%</w:t>
            </w:r>
          </w:p>
        </w:tc>
      </w:tr>
      <w:tr w:rsidR="00AB3F65" w:rsidRPr="00902BB4" w:rsidTr="00B66C05">
        <w:trPr>
          <w:trHeight w:val="282"/>
        </w:trPr>
        <w:tc>
          <w:tcPr>
            <w:tcW w:w="1915" w:type="dxa"/>
            <w:vAlign w:val="center"/>
          </w:tcPr>
          <w:p w:rsidR="00AB3F65" w:rsidRPr="00A24E69" w:rsidRDefault="00AB3F65" w:rsidP="00F055AB">
            <w:pPr>
              <w:spacing w:line="276" w:lineRule="auto"/>
              <w:rPr>
                <w:rFonts w:cs="Arial"/>
                <w:sz w:val="20"/>
                <w:szCs w:val="22"/>
              </w:rPr>
            </w:pPr>
            <w:r w:rsidRPr="00A24E69">
              <w:rPr>
                <w:rFonts w:cs="Arial"/>
                <w:sz w:val="20"/>
                <w:szCs w:val="22"/>
              </w:rPr>
              <w:t>A- = 90.0 – 93.2%</w:t>
            </w:r>
          </w:p>
        </w:tc>
        <w:tc>
          <w:tcPr>
            <w:tcW w:w="1915" w:type="dxa"/>
            <w:vAlign w:val="center"/>
          </w:tcPr>
          <w:p w:rsidR="00AB3F65" w:rsidRPr="00A24E69" w:rsidRDefault="00AB3F65" w:rsidP="00F055AB">
            <w:pPr>
              <w:spacing w:line="276" w:lineRule="auto"/>
              <w:rPr>
                <w:rFonts w:cs="Arial"/>
                <w:sz w:val="20"/>
                <w:szCs w:val="22"/>
              </w:rPr>
            </w:pPr>
            <w:r w:rsidRPr="00A24E69">
              <w:rPr>
                <w:rFonts w:cs="Arial"/>
                <w:sz w:val="20"/>
                <w:szCs w:val="22"/>
              </w:rPr>
              <w:t>B- = 80.0 – 83.2%</w:t>
            </w:r>
          </w:p>
        </w:tc>
        <w:tc>
          <w:tcPr>
            <w:tcW w:w="1915" w:type="dxa"/>
            <w:vAlign w:val="center"/>
          </w:tcPr>
          <w:p w:rsidR="00AB3F65" w:rsidRPr="00A24E69" w:rsidRDefault="00AB3F65" w:rsidP="00F055AB">
            <w:pPr>
              <w:spacing w:line="276" w:lineRule="auto"/>
              <w:rPr>
                <w:rFonts w:cs="Arial"/>
                <w:sz w:val="20"/>
                <w:szCs w:val="22"/>
              </w:rPr>
            </w:pPr>
            <w:r w:rsidRPr="00A24E69">
              <w:rPr>
                <w:rFonts w:cs="Arial"/>
                <w:sz w:val="20"/>
                <w:szCs w:val="22"/>
              </w:rPr>
              <w:t>C- = 70.0 – 73.2%</w:t>
            </w:r>
          </w:p>
        </w:tc>
        <w:tc>
          <w:tcPr>
            <w:tcW w:w="1915" w:type="dxa"/>
            <w:vAlign w:val="center"/>
          </w:tcPr>
          <w:p w:rsidR="00AB3F65" w:rsidRPr="00A24E69" w:rsidRDefault="00AB3F65" w:rsidP="00F055AB">
            <w:pPr>
              <w:spacing w:line="276" w:lineRule="auto"/>
              <w:rPr>
                <w:rFonts w:cs="Arial"/>
                <w:sz w:val="20"/>
                <w:szCs w:val="22"/>
              </w:rPr>
            </w:pPr>
            <w:r w:rsidRPr="00A24E69">
              <w:rPr>
                <w:rFonts w:cs="Arial"/>
                <w:sz w:val="20"/>
                <w:szCs w:val="22"/>
              </w:rPr>
              <w:t>D- = 60.0 – 63.2%</w:t>
            </w:r>
          </w:p>
        </w:tc>
        <w:tc>
          <w:tcPr>
            <w:tcW w:w="1916" w:type="dxa"/>
            <w:vAlign w:val="center"/>
          </w:tcPr>
          <w:p w:rsidR="00AB3F65" w:rsidRPr="00A24E69" w:rsidRDefault="00AB3F65" w:rsidP="00F055AB">
            <w:pPr>
              <w:spacing w:line="276" w:lineRule="auto"/>
              <w:rPr>
                <w:rFonts w:cs="Arial"/>
                <w:sz w:val="20"/>
                <w:szCs w:val="22"/>
              </w:rPr>
            </w:pPr>
          </w:p>
        </w:tc>
      </w:tr>
    </w:tbl>
    <w:p w:rsidR="00AB3F65" w:rsidRPr="00902BB4" w:rsidRDefault="00AB3F65" w:rsidP="00F055AB">
      <w:pPr>
        <w:spacing w:line="276" w:lineRule="auto"/>
        <w:rPr>
          <w:rFonts w:cs="Arial"/>
          <w:b/>
          <w:bCs/>
          <w:sz w:val="22"/>
          <w:szCs w:val="22"/>
        </w:rPr>
      </w:pPr>
    </w:p>
    <w:p w:rsidR="007A0431" w:rsidRPr="00902BB4" w:rsidRDefault="007A0431" w:rsidP="002845B8">
      <w:pPr>
        <w:rPr>
          <w:rFonts w:cs="Arial"/>
          <w:sz w:val="22"/>
          <w:szCs w:val="22"/>
        </w:rPr>
      </w:pPr>
      <w:r w:rsidRPr="00902BB4">
        <w:rPr>
          <w:rFonts w:cs="Arial"/>
          <w:b/>
          <w:bCs/>
          <w:sz w:val="22"/>
          <w:szCs w:val="22"/>
        </w:rPr>
        <w:t>Exams</w:t>
      </w:r>
      <w:r w:rsidRPr="00902BB4">
        <w:rPr>
          <w:rFonts w:cs="Arial"/>
          <w:sz w:val="22"/>
          <w:szCs w:val="22"/>
        </w:rPr>
        <w:t xml:space="preserve"> will include multiple choice, short answer, and</w:t>
      </w:r>
      <w:r w:rsidR="002845B8">
        <w:rPr>
          <w:rFonts w:cs="Arial"/>
          <w:sz w:val="22"/>
          <w:szCs w:val="22"/>
        </w:rPr>
        <w:t>/or</w:t>
      </w:r>
      <w:r w:rsidRPr="00902BB4">
        <w:rPr>
          <w:rFonts w:cs="Arial"/>
          <w:sz w:val="22"/>
          <w:szCs w:val="22"/>
        </w:rPr>
        <w:t xml:space="preserve"> essay </w:t>
      </w:r>
      <w:r w:rsidR="00E71151" w:rsidRPr="00902BB4">
        <w:rPr>
          <w:rFonts w:cs="Arial"/>
          <w:sz w:val="22"/>
          <w:szCs w:val="22"/>
        </w:rPr>
        <w:t>questions</w:t>
      </w:r>
      <w:r w:rsidRPr="00902BB4">
        <w:rPr>
          <w:rFonts w:cs="Arial"/>
          <w:sz w:val="22"/>
          <w:szCs w:val="22"/>
        </w:rPr>
        <w:t xml:space="preserve">. </w:t>
      </w:r>
    </w:p>
    <w:p w:rsidR="002845B8" w:rsidRDefault="002845B8" w:rsidP="002845B8">
      <w:pPr>
        <w:rPr>
          <w:rFonts w:cs="Arial"/>
          <w:b/>
          <w:sz w:val="22"/>
          <w:szCs w:val="22"/>
        </w:rPr>
      </w:pPr>
    </w:p>
    <w:p w:rsidR="00C813D8" w:rsidRPr="00902BB4" w:rsidRDefault="002845B8" w:rsidP="002845B8">
      <w:pPr>
        <w:rPr>
          <w:rFonts w:cs="Arial"/>
          <w:sz w:val="22"/>
          <w:szCs w:val="22"/>
        </w:rPr>
      </w:pPr>
      <w:r>
        <w:rPr>
          <w:rFonts w:cs="Arial"/>
          <w:b/>
          <w:sz w:val="22"/>
          <w:szCs w:val="22"/>
        </w:rPr>
        <w:t>Makeup exams</w:t>
      </w:r>
      <w:r w:rsidR="00C813D8" w:rsidRPr="00902BB4">
        <w:rPr>
          <w:rFonts w:cs="Arial"/>
          <w:b/>
          <w:sz w:val="22"/>
          <w:szCs w:val="22"/>
        </w:rPr>
        <w:t>:</w:t>
      </w:r>
      <w:r w:rsidR="00740A9B" w:rsidRPr="00902BB4">
        <w:rPr>
          <w:rFonts w:cs="Arial"/>
          <w:b/>
          <w:sz w:val="22"/>
          <w:szCs w:val="22"/>
        </w:rPr>
        <w:t xml:space="preserve"> </w:t>
      </w:r>
      <w:r w:rsidR="00C813D8" w:rsidRPr="00902BB4">
        <w:rPr>
          <w:rFonts w:cs="Arial"/>
          <w:sz w:val="22"/>
          <w:szCs w:val="22"/>
        </w:rPr>
        <w:t xml:space="preserve">Makeup exams will only be scheduled if the student has a </w:t>
      </w:r>
      <w:r w:rsidR="00746F55" w:rsidRPr="00902BB4">
        <w:rPr>
          <w:rFonts w:cs="Arial"/>
          <w:sz w:val="22"/>
          <w:szCs w:val="22"/>
        </w:rPr>
        <w:t>documented</w:t>
      </w:r>
      <w:r w:rsidR="00C813D8" w:rsidRPr="00902BB4">
        <w:rPr>
          <w:rFonts w:cs="Arial"/>
          <w:sz w:val="22"/>
          <w:szCs w:val="22"/>
        </w:rPr>
        <w:t xml:space="preserve"> medical excuse, religious conflict, family tragedy, or College-sanctioned event that prevents the student from being present on the scheduled day of the exam or presentation. Medical excuses will require the student to provide a written, dated notice from a physician explaining the student’s absence from the scheduled exam </w:t>
      </w:r>
      <w:r w:rsidR="00C813D8" w:rsidRPr="00902BB4">
        <w:rPr>
          <w:rFonts w:cs="Arial"/>
          <w:b/>
          <w:i/>
          <w:sz w:val="22"/>
          <w:szCs w:val="22"/>
        </w:rPr>
        <w:t>on the next class day after the absence</w:t>
      </w:r>
      <w:r w:rsidR="00C813D8" w:rsidRPr="00902BB4">
        <w:rPr>
          <w:rFonts w:cs="Arial"/>
          <w:sz w:val="22"/>
          <w:szCs w:val="22"/>
        </w:rPr>
        <w:t xml:space="preserve">.  </w:t>
      </w:r>
    </w:p>
    <w:p w:rsidR="00C813D8" w:rsidRPr="00902BB4" w:rsidRDefault="00C813D8" w:rsidP="002845B8">
      <w:pPr>
        <w:rPr>
          <w:rFonts w:cs="Arial"/>
          <w:sz w:val="22"/>
          <w:szCs w:val="22"/>
        </w:rPr>
      </w:pPr>
    </w:p>
    <w:p w:rsidR="00C813D8" w:rsidRPr="00902BB4" w:rsidRDefault="00C813D8" w:rsidP="002845B8">
      <w:pPr>
        <w:rPr>
          <w:rFonts w:cs="Arial"/>
          <w:b/>
          <w:sz w:val="22"/>
          <w:szCs w:val="22"/>
        </w:rPr>
      </w:pPr>
      <w:r w:rsidRPr="00902BB4">
        <w:rPr>
          <w:rFonts w:cs="Arial"/>
          <w:b/>
          <w:sz w:val="22"/>
          <w:szCs w:val="22"/>
        </w:rPr>
        <w:t>Policy on cheating and plagiarism:</w:t>
      </w:r>
    </w:p>
    <w:p w:rsidR="00C813D8" w:rsidRPr="00902BB4" w:rsidRDefault="00740A9B" w:rsidP="002845B8">
      <w:pPr>
        <w:ind w:firstLine="720"/>
        <w:rPr>
          <w:rFonts w:cs="Arial"/>
          <w:sz w:val="22"/>
          <w:szCs w:val="22"/>
        </w:rPr>
      </w:pPr>
      <w:r w:rsidRPr="00902BB4">
        <w:rPr>
          <w:rFonts w:cs="Arial"/>
          <w:sz w:val="22"/>
          <w:szCs w:val="22"/>
        </w:rPr>
        <w:t>Fro</w:t>
      </w:r>
      <w:r w:rsidR="00746F55" w:rsidRPr="00902BB4">
        <w:rPr>
          <w:rFonts w:cs="Arial"/>
          <w:sz w:val="22"/>
          <w:szCs w:val="22"/>
        </w:rPr>
        <w:t xml:space="preserve">m the </w:t>
      </w:r>
      <w:r w:rsidR="00C813D8" w:rsidRPr="00902BB4">
        <w:rPr>
          <w:rFonts w:cs="Arial"/>
          <w:sz w:val="22"/>
          <w:szCs w:val="22"/>
        </w:rPr>
        <w:t xml:space="preserve">Lycoming College Academic Catalog:  The College assumes that students are committed to the principle of academic honesty.  Students who fail to honor this commitment are subject to dismissal.  Procedural guidelines and rules for the adjudication of cases of academic dishonesty are printed in </w:t>
      </w:r>
      <w:r w:rsidR="00C813D8" w:rsidRPr="00902BB4">
        <w:rPr>
          <w:rFonts w:cs="Arial"/>
          <w:i/>
          <w:sz w:val="22"/>
          <w:szCs w:val="22"/>
        </w:rPr>
        <w:t>The Student Handbook.</w:t>
      </w:r>
    </w:p>
    <w:p w:rsidR="0007416E" w:rsidRPr="00902BB4" w:rsidRDefault="0007416E" w:rsidP="002845B8">
      <w:pPr>
        <w:rPr>
          <w:rFonts w:cs="Arial"/>
          <w:b/>
          <w:sz w:val="22"/>
          <w:szCs w:val="22"/>
        </w:rPr>
      </w:pPr>
    </w:p>
    <w:p w:rsidR="001676EC" w:rsidRPr="00902BB4" w:rsidRDefault="001676EC" w:rsidP="002845B8">
      <w:pPr>
        <w:ind w:left="720" w:hanging="720"/>
        <w:rPr>
          <w:rFonts w:cs="Arial"/>
          <w:sz w:val="22"/>
          <w:szCs w:val="22"/>
        </w:rPr>
      </w:pPr>
      <w:r w:rsidRPr="00902BB4">
        <w:rPr>
          <w:rFonts w:cs="Arial"/>
          <w:b/>
          <w:bCs/>
          <w:sz w:val="22"/>
          <w:szCs w:val="22"/>
        </w:rPr>
        <w:t>Attendance policy</w:t>
      </w:r>
      <w:r w:rsidRPr="00902BB4">
        <w:rPr>
          <w:rFonts w:cs="Arial"/>
          <w:sz w:val="22"/>
          <w:szCs w:val="22"/>
        </w:rPr>
        <w:t xml:space="preserve">: Attendance of lectures is expected and is in your best interest, because a significant percentage of material on exams will be based on classroom discussions and subjects not covered in the text. Four unexcused absences will result in a warning; if a fifth unexcused absence occurs, the Dean will be notified.  </w:t>
      </w:r>
    </w:p>
    <w:p w:rsidR="001676EC" w:rsidRPr="00902BB4" w:rsidRDefault="001676EC" w:rsidP="002845B8">
      <w:pPr>
        <w:rPr>
          <w:rFonts w:cs="Arial"/>
          <w:sz w:val="22"/>
          <w:szCs w:val="22"/>
        </w:rPr>
      </w:pPr>
    </w:p>
    <w:p w:rsidR="00B94E4A" w:rsidRPr="00902BB4" w:rsidRDefault="00B94E4A" w:rsidP="002845B8">
      <w:pPr>
        <w:rPr>
          <w:rFonts w:cs="Arial"/>
          <w:b/>
          <w:sz w:val="22"/>
          <w:szCs w:val="22"/>
          <w:u w:val="single"/>
        </w:rPr>
      </w:pPr>
      <w:r w:rsidRPr="00902BB4">
        <w:rPr>
          <w:rFonts w:cs="Arial"/>
          <w:b/>
          <w:sz w:val="22"/>
          <w:szCs w:val="22"/>
          <w:u w:val="single"/>
        </w:rPr>
        <w:t>Students with Disabilities:</w:t>
      </w:r>
    </w:p>
    <w:p w:rsidR="00E66EED" w:rsidRPr="00902BB4" w:rsidRDefault="00A773BC" w:rsidP="002845B8">
      <w:pPr>
        <w:ind w:firstLine="720"/>
        <w:rPr>
          <w:rFonts w:cs="Arial"/>
          <w:sz w:val="22"/>
          <w:szCs w:val="22"/>
        </w:rPr>
      </w:pPr>
      <w:r w:rsidRPr="00902BB4">
        <w:rPr>
          <w:rFonts w:cs="Arial"/>
          <w:color w:val="000000"/>
          <w:sz w:val="22"/>
          <w:szCs w:val="22"/>
        </w:rPr>
        <w:t xml:space="preserve">Lycoming College provides academic support for students who officially disclose diagnosed learning, physical, and psychological disabilities. If you have a diagnosed disability and would like to seek accommodations, please contact </w:t>
      </w:r>
      <w:proofErr w:type="spellStart"/>
      <w:r w:rsidRPr="00902BB4">
        <w:rPr>
          <w:rFonts w:cs="Arial"/>
          <w:color w:val="000000"/>
          <w:sz w:val="22"/>
          <w:szCs w:val="22"/>
        </w:rPr>
        <w:t>Jilliane</w:t>
      </w:r>
      <w:proofErr w:type="spellEnd"/>
      <w:r w:rsidRPr="00902BB4">
        <w:rPr>
          <w:rFonts w:cs="Arial"/>
          <w:color w:val="000000"/>
          <w:sz w:val="22"/>
          <w:szCs w:val="22"/>
        </w:rPr>
        <w:t xml:space="preserve"> Bolt-</w:t>
      </w:r>
      <w:proofErr w:type="spellStart"/>
      <w:r w:rsidRPr="00902BB4">
        <w:rPr>
          <w:rFonts w:cs="Arial"/>
          <w:color w:val="000000"/>
          <w:sz w:val="22"/>
          <w:szCs w:val="22"/>
        </w:rPr>
        <w:t>Michewicz</w:t>
      </w:r>
      <w:proofErr w:type="spellEnd"/>
      <w:r w:rsidRPr="00902BB4">
        <w:rPr>
          <w:rFonts w:cs="Arial"/>
          <w:color w:val="000000"/>
          <w:sz w:val="22"/>
          <w:szCs w:val="22"/>
        </w:rPr>
        <w:t>, Assistant Dean of Academic Services/Director of the Academic Resource Center. Dean Bolt-</w:t>
      </w:r>
      <w:proofErr w:type="spellStart"/>
      <w:r w:rsidRPr="00902BB4">
        <w:rPr>
          <w:rFonts w:cs="Arial"/>
          <w:color w:val="000000"/>
          <w:sz w:val="22"/>
          <w:szCs w:val="22"/>
        </w:rPr>
        <w:t>Michewicz</w:t>
      </w:r>
      <w:proofErr w:type="spellEnd"/>
      <w:r w:rsidRPr="00902BB4">
        <w:rPr>
          <w:rFonts w:cs="Arial"/>
          <w:color w:val="000000"/>
          <w:sz w:val="22"/>
          <w:szCs w:val="22"/>
        </w:rPr>
        <w:t xml:space="preserve"> will help you arrange for appropriate academic accommodations. She can be reached by calling (570) 321-4050, emailing </w:t>
      </w:r>
      <w:hyperlink r:id="rId7" w:history="1">
        <w:r w:rsidRPr="00902BB4">
          <w:rPr>
            <w:rStyle w:val="Hyperlink"/>
            <w:rFonts w:cs="Arial"/>
            <w:sz w:val="22"/>
            <w:szCs w:val="22"/>
          </w:rPr>
          <w:t>michewicz@lycoming.edu</w:t>
        </w:r>
      </w:hyperlink>
      <w:r w:rsidRPr="00902BB4">
        <w:rPr>
          <w:rFonts w:cs="Arial"/>
          <w:color w:val="000000"/>
          <w:sz w:val="22"/>
          <w:szCs w:val="22"/>
        </w:rPr>
        <w:t>, or visiting her office (Academic Resource Center, 3rd Floor of Snowden Library)</w:t>
      </w:r>
      <w:r w:rsidR="00B94E4A" w:rsidRPr="00902BB4">
        <w:rPr>
          <w:rFonts w:cs="Arial"/>
          <w:sz w:val="22"/>
          <w:szCs w:val="22"/>
        </w:rPr>
        <w:t xml:space="preserve">.   </w:t>
      </w:r>
    </w:p>
    <w:p w:rsidR="00B94E4A" w:rsidRPr="00902BB4" w:rsidRDefault="00B94E4A" w:rsidP="00B94E4A">
      <w:pPr>
        <w:spacing w:line="276" w:lineRule="auto"/>
        <w:rPr>
          <w:rFonts w:cs="Arial"/>
          <w:b/>
          <w:sz w:val="22"/>
          <w:szCs w:val="22"/>
        </w:rPr>
      </w:pPr>
    </w:p>
    <w:p w:rsidR="002845B8" w:rsidRDefault="002845B8">
      <w:pPr>
        <w:rPr>
          <w:rFonts w:cs="Arial"/>
          <w:b/>
          <w:bCs/>
          <w:sz w:val="22"/>
          <w:szCs w:val="22"/>
        </w:rPr>
      </w:pPr>
      <w:r>
        <w:rPr>
          <w:rFonts w:cs="Arial"/>
          <w:b/>
          <w:bCs/>
          <w:sz w:val="22"/>
          <w:szCs w:val="22"/>
        </w:rPr>
        <w:br w:type="page"/>
      </w:r>
    </w:p>
    <w:p w:rsidR="00B81243" w:rsidRPr="00902BB4" w:rsidRDefault="007A0431" w:rsidP="00D65861">
      <w:pPr>
        <w:spacing w:line="276" w:lineRule="auto"/>
        <w:jc w:val="center"/>
        <w:rPr>
          <w:rFonts w:cs="Arial"/>
          <w:b/>
          <w:sz w:val="22"/>
          <w:szCs w:val="22"/>
        </w:rPr>
      </w:pPr>
      <w:r w:rsidRPr="00902BB4">
        <w:rPr>
          <w:rFonts w:cs="Arial"/>
          <w:b/>
          <w:bCs/>
          <w:sz w:val="22"/>
          <w:szCs w:val="22"/>
        </w:rPr>
        <w:lastRenderedPageBreak/>
        <w:t>Tentative Schedule</w:t>
      </w:r>
      <w:r w:rsidR="00D65861" w:rsidRPr="00902BB4">
        <w:rPr>
          <w:rFonts w:cs="Arial"/>
          <w:sz w:val="22"/>
          <w:szCs w:val="22"/>
        </w:rPr>
        <w:br/>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1"/>
        <w:gridCol w:w="8194"/>
      </w:tblGrid>
      <w:tr w:rsidR="00020301" w:rsidRPr="00902BB4" w:rsidTr="00322C69">
        <w:trPr>
          <w:trHeight w:val="494"/>
        </w:trPr>
        <w:tc>
          <w:tcPr>
            <w:tcW w:w="1341" w:type="dxa"/>
            <w:vAlign w:val="center"/>
          </w:tcPr>
          <w:p w:rsidR="00020301" w:rsidRPr="00902BB4" w:rsidRDefault="00020301" w:rsidP="006C3CED">
            <w:pPr>
              <w:jc w:val="center"/>
              <w:rPr>
                <w:rFonts w:cs="Arial"/>
                <w:b/>
                <w:sz w:val="22"/>
                <w:szCs w:val="22"/>
              </w:rPr>
            </w:pPr>
            <w:r w:rsidRPr="00902BB4">
              <w:rPr>
                <w:rFonts w:cs="Arial"/>
                <w:b/>
                <w:sz w:val="22"/>
                <w:szCs w:val="22"/>
              </w:rPr>
              <w:t>Week</w:t>
            </w:r>
          </w:p>
        </w:tc>
        <w:tc>
          <w:tcPr>
            <w:tcW w:w="8194" w:type="dxa"/>
            <w:vAlign w:val="center"/>
          </w:tcPr>
          <w:p w:rsidR="00020301" w:rsidRPr="00902BB4" w:rsidRDefault="00020301" w:rsidP="00D65861">
            <w:pPr>
              <w:rPr>
                <w:rFonts w:cs="Arial"/>
                <w:sz w:val="22"/>
                <w:szCs w:val="22"/>
              </w:rPr>
            </w:pPr>
            <w:r w:rsidRPr="00902BB4">
              <w:rPr>
                <w:rFonts w:cs="Arial"/>
                <w:b/>
                <w:sz w:val="22"/>
                <w:szCs w:val="22"/>
              </w:rPr>
              <w:t>Topics</w:t>
            </w:r>
            <w:r w:rsidRPr="00902BB4">
              <w:rPr>
                <w:rFonts w:cs="Arial"/>
                <w:sz w:val="22"/>
                <w:szCs w:val="22"/>
              </w:rPr>
              <w:t xml:space="preserve"> (chapters)</w:t>
            </w:r>
          </w:p>
        </w:tc>
      </w:tr>
      <w:tr w:rsidR="00020301" w:rsidRPr="00902BB4" w:rsidTr="00322C69">
        <w:trPr>
          <w:trHeight w:val="710"/>
        </w:trPr>
        <w:tc>
          <w:tcPr>
            <w:tcW w:w="1341" w:type="dxa"/>
            <w:vAlign w:val="center"/>
          </w:tcPr>
          <w:p w:rsidR="00020301" w:rsidRPr="00902BB4" w:rsidRDefault="00020301" w:rsidP="006C3CED">
            <w:pPr>
              <w:jc w:val="center"/>
              <w:rPr>
                <w:rFonts w:cs="Arial"/>
                <w:b/>
                <w:sz w:val="22"/>
                <w:szCs w:val="22"/>
              </w:rPr>
            </w:pPr>
            <w:r w:rsidRPr="00902BB4">
              <w:rPr>
                <w:rFonts w:cs="Arial"/>
                <w:b/>
                <w:sz w:val="22"/>
                <w:szCs w:val="22"/>
              </w:rPr>
              <w:t>Week 1</w:t>
            </w:r>
          </w:p>
          <w:p w:rsidR="00020301" w:rsidRPr="00902BB4" w:rsidRDefault="00020301" w:rsidP="006C3CED">
            <w:pPr>
              <w:jc w:val="center"/>
              <w:rPr>
                <w:rFonts w:cs="Arial"/>
                <w:sz w:val="22"/>
                <w:szCs w:val="22"/>
              </w:rPr>
            </w:pPr>
            <w:r w:rsidRPr="00902BB4">
              <w:rPr>
                <w:rFonts w:cs="Arial"/>
                <w:sz w:val="22"/>
                <w:szCs w:val="22"/>
              </w:rPr>
              <w:t>8/2</w:t>
            </w:r>
            <w:r>
              <w:rPr>
                <w:rFonts w:cs="Arial"/>
                <w:sz w:val="22"/>
                <w:szCs w:val="22"/>
              </w:rPr>
              <w:t>9</w:t>
            </w:r>
            <w:r w:rsidRPr="00902BB4">
              <w:rPr>
                <w:rFonts w:cs="Arial"/>
                <w:sz w:val="22"/>
                <w:szCs w:val="22"/>
              </w:rPr>
              <w:t>-</w:t>
            </w:r>
            <w:r>
              <w:rPr>
                <w:rFonts w:cs="Arial"/>
                <w:sz w:val="22"/>
                <w:szCs w:val="22"/>
              </w:rPr>
              <w:t>9/2</w:t>
            </w:r>
          </w:p>
        </w:tc>
        <w:tc>
          <w:tcPr>
            <w:tcW w:w="8194" w:type="dxa"/>
            <w:vAlign w:val="center"/>
          </w:tcPr>
          <w:p w:rsidR="00020301" w:rsidRPr="00902BB4" w:rsidRDefault="00B25A88" w:rsidP="00D65861">
            <w:pPr>
              <w:rPr>
                <w:rFonts w:cs="Arial"/>
                <w:sz w:val="22"/>
                <w:szCs w:val="22"/>
              </w:rPr>
            </w:pPr>
            <w:r>
              <w:rPr>
                <w:rFonts w:cs="Arial"/>
                <w:sz w:val="22"/>
                <w:szCs w:val="22"/>
              </w:rPr>
              <w:t>What is Public Health?</w:t>
            </w:r>
            <w:r w:rsidR="00020301" w:rsidRPr="00902BB4">
              <w:rPr>
                <w:rFonts w:cs="Arial"/>
                <w:sz w:val="22"/>
                <w:szCs w:val="22"/>
              </w:rPr>
              <w:t xml:space="preserve"> (1,2,3)</w:t>
            </w:r>
          </w:p>
        </w:tc>
      </w:tr>
      <w:tr w:rsidR="00020301" w:rsidRPr="00902BB4" w:rsidTr="00322C69">
        <w:trPr>
          <w:trHeight w:val="710"/>
        </w:trPr>
        <w:tc>
          <w:tcPr>
            <w:tcW w:w="1341" w:type="dxa"/>
            <w:vAlign w:val="center"/>
          </w:tcPr>
          <w:p w:rsidR="00020301" w:rsidRPr="00902BB4" w:rsidRDefault="00020301" w:rsidP="006C3CED">
            <w:pPr>
              <w:jc w:val="center"/>
              <w:rPr>
                <w:rFonts w:cs="Arial"/>
                <w:b/>
                <w:sz w:val="22"/>
                <w:szCs w:val="22"/>
              </w:rPr>
            </w:pPr>
            <w:r w:rsidRPr="00902BB4">
              <w:rPr>
                <w:rFonts w:cs="Arial"/>
                <w:b/>
                <w:sz w:val="22"/>
                <w:szCs w:val="22"/>
              </w:rPr>
              <w:t>Week 2</w:t>
            </w:r>
          </w:p>
          <w:p w:rsidR="00020301" w:rsidRPr="00902BB4" w:rsidRDefault="00020301" w:rsidP="006C3CED">
            <w:pPr>
              <w:jc w:val="center"/>
              <w:rPr>
                <w:rFonts w:cs="Arial"/>
                <w:sz w:val="22"/>
                <w:szCs w:val="22"/>
              </w:rPr>
            </w:pPr>
            <w:r>
              <w:rPr>
                <w:rFonts w:cs="Arial"/>
                <w:sz w:val="22"/>
                <w:szCs w:val="22"/>
              </w:rPr>
              <w:t>9/5</w:t>
            </w:r>
            <w:r w:rsidRPr="00902BB4">
              <w:rPr>
                <w:rFonts w:cs="Arial"/>
                <w:sz w:val="22"/>
                <w:szCs w:val="22"/>
              </w:rPr>
              <w:t>-</w:t>
            </w:r>
            <w:r>
              <w:rPr>
                <w:rFonts w:cs="Arial"/>
                <w:sz w:val="22"/>
                <w:szCs w:val="22"/>
              </w:rPr>
              <w:t>9</w:t>
            </w:r>
          </w:p>
        </w:tc>
        <w:tc>
          <w:tcPr>
            <w:tcW w:w="8194" w:type="dxa"/>
            <w:vAlign w:val="center"/>
          </w:tcPr>
          <w:p w:rsidR="00B25A88" w:rsidRPr="00B25A88" w:rsidRDefault="00B25A88" w:rsidP="00B25A88">
            <w:pPr>
              <w:rPr>
                <w:rFonts w:cs="Arial"/>
                <w:b/>
                <w:sz w:val="22"/>
                <w:szCs w:val="22"/>
              </w:rPr>
            </w:pPr>
            <w:r>
              <w:rPr>
                <w:rFonts w:cs="Arial"/>
                <w:sz w:val="22"/>
                <w:szCs w:val="22"/>
              </w:rPr>
              <w:t>How is Public Health Studied?</w:t>
            </w:r>
            <w:r w:rsidR="00020301" w:rsidRPr="00902BB4">
              <w:rPr>
                <w:rFonts w:cs="Arial"/>
                <w:sz w:val="22"/>
                <w:szCs w:val="22"/>
              </w:rPr>
              <w:t xml:space="preserve"> </w:t>
            </w:r>
            <w:r w:rsidR="00020301">
              <w:rPr>
                <w:rFonts w:cs="Arial"/>
                <w:sz w:val="22"/>
                <w:szCs w:val="22"/>
              </w:rPr>
              <w:t xml:space="preserve"> (</w:t>
            </w:r>
            <w:r>
              <w:rPr>
                <w:rFonts w:cs="Arial"/>
                <w:sz w:val="22"/>
                <w:szCs w:val="22"/>
              </w:rPr>
              <w:t>4-8</w:t>
            </w:r>
            <w:r w:rsidR="00020301" w:rsidRPr="00902BB4">
              <w:rPr>
                <w:rFonts w:cs="Arial"/>
                <w:sz w:val="22"/>
                <w:szCs w:val="22"/>
              </w:rPr>
              <w:t>)</w:t>
            </w:r>
            <w:r>
              <w:rPr>
                <w:rFonts w:cs="Arial"/>
                <w:sz w:val="22"/>
                <w:szCs w:val="22"/>
              </w:rPr>
              <w:t xml:space="preserve">   </w:t>
            </w:r>
            <w:r w:rsidRPr="00B25A88">
              <w:rPr>
                <w:rFonts w:cs="Arial"/>
                <w:b/>
                <w:sz w:val="22"/>
                <w:szCs w:val="22"/>
              </w:rPr>
              <w:t>Quiz 1 (9/9)</w:t>
            </w:r>
          </w:p>
        </w:tc>
      </w:tr>
      <w:tr w:rsidR="00020301" w:rsidRPr="00902BB4" w:rsidTr="00322C69">
        <w:trPr>
          <w:trHeight w:val="710"/>
        </w:trPr>
        <w:tc>
          <w:tcPr>
            <w:tcW w:w="1341" w:type="dxa"/>
            <w:vAlign w:val="center"/>
          </w:tcPr>
          <w:p w:rsidR="00020301" w:rsidRPr="00902BB4" w:rsidRDefault="00020301" w:rsidP="006C3CED">
            <w:pPr>
              <w:jc w:val="center"/>
              <w:rPr>
                <w:rFonts w:cs="Arial"/>
                <w:b/>
                <w:sz w:val="22"/>
                <w:szCs w:val="22"/>
              </w:rPr>
            </w:pPr>
            <w:r w:rsidRPr="00902BB4">
              <w:rPr>
                <w:rFonts w:cs="Arial"/>
                <w:b/>
                <w:sz w:val="22"/>
                <w:szCs w:val="22"/>
              </w:rPr>
              <w:t>Week 3</w:t>
            </w:r>
            <w:r>
              <w:rPr>
                <w:rFonts w:cs="Arial"/>
                <w:b/>
                <w:sz w:val="22"/>
                <w:szCs w:val="22"/>
              </w:rPr>
              <w:t>*</w:t>
            </w:r>
          </w:p>
          <w:p w:rsidR="00020301" w:rsidRPr="00902BB4" w:rsidRDefault="00020301" w:rsidP="006C3CED">
            <w:pPr>
              <w:jc w:val="center"/>
              <w:rPr>
                <w:rFonts w:cs="Arial"/>
                <w:sz w:val="22"/>
                <w:szCs w:val="22"/>
              </w:rPr>
            </w:pPr>
            <w:r w:rsidRPr="00902BB4">
              <w:rPr>
                <w:rFonts w:cs="Arial"/>
                <w:sz w:val="22"/>
                <w:szCs w:val="22"/>
              </w:rPr>
              <w:t>9/</w:t>
            </w:r>
            <w:r>
              <w:rPr>
                <w:rFonts w:cs="Arial"/>
                <w:sz w:val="22"/>
                <w:szCs w:val="22"/>
              </w:rPr>
              <w:t>12</w:t>
            </w:r>
            <w:r w:rsidRPr="00902BB4">
              <w:rPr>
                <w:rFonts w:cs="Arial"/>
                <w:sz w:val="22"/>
                <w:szCs w:val="22"/>
              </w:rPr>
              <w:t>-1</w:t>
            </w:r>
            <w:r>
              <w:rPr>
                <w:rFonts w:cs="Arial"/>
                <w:sz w:val="22"/>
                <w:szCs w:val="22"/>
              </w:rPr>
              <w:t>6</w:t>
            </w:r>
          </w:p>
        </w:tc>
        <w:tc>
          <w:tcPr>
            <w:tcW w:w="8194" w:type="dxa"/>
            <w:vAlign w:val="center"/>
          </w:tcPr>
          <w:p w:rsidR="00020301" w:rsidRPr="00902BB4" w:rsidRDefault="00B25A88" w:rsidP="00C219AA">
            <w:pPr>
              <w:rPr>
                <w:rFonts w:cs="Arial"/>
                <w:sz w:val="22"/>
                <w:szCs w:val="22"/>
              </w:rPr>
            </w:pPr>
            <w:r>
              <w:rPr>
                <w:rFonts w:cs="Arial"/>
                <w:sz w:val="22"/>
                <w:szCs w:val="22"/>
              </w:rPr>
              <w:t>Group Research Projects</w:t>
            </w:r>
          </w:p>
        </w:tc>
      </w:tr>
      <w:tr w:rsidR="00020301" w:rsidRPr="00902BB4" w:rsidTr="00322C69">
        <w:trPr>
          <w:trHeight w:val="800"/>
        </w:trPr>
        <w:tc>
          <w:tcPr>
            <w:tcW w:w="1341" w:type="dxa"/>
            <w:vAlign w:val="center"/>
          </w:tcPr>
          <w:p w:rsidR="00020301" w:rsidRPr="00902BB4" w:rsidRDefault="00020301" w:rsidP="006C3CED">
            <w:pPr>
              <w:jc w:val="center"/>
              <w:rPr>
                <w:rFonts w:cs="Arial"/>
                <w:b/>
                <w:sz w:val="22"/>
                <w:szCs w:val="22"/>
              </w:rPr>
            </w:pPr>
            <w:r w:rsidRPr="00902BB4">
              <w:rPr>
                <w:rFonts w:cs="Arial"/>
                <w:b/>
                <w:sz w:val="22"/>
                <w:szCs w:val="22"/>
              </w:rPr>
              <w:t>Week 4</w:t>
            </w:r>
          </w:p>
          <w:p w:rsidR="00020301" w:rsidRPr="00902BB4" w:rsidRDefault="00020301" w:rsidP="006C3CED">
            <w:pPr>
              <w:jc w:val="center"/>
              <w:rPr>
                <w:rFonts w:cs="Arial"/>
                <w:sz w:val="22"/>
                <w:szCs w:val="22"/>
              </w:rPr>
            </w:pPr>
            <w:r>
              <w:rPr>
                <w:rFonts w:cs="Arial"/>
                <w:sz w:val="22"/>
                <w:szCs w:val="22"/>
              </w:rPr>
              <w:t>9/19-23</w:t>
            </w:r>
          </w:p>
        </w:tc>
        <w:tc>
          <w:tcPr>
            <w:tcW w:w="8194" w:type="dxa"/>
            <w:vAlign w:val="center"/>
          </w:tcPr>
          <w:p w:rsidR="00B25A88" w:rsidRPr="00F64F8D" w:rsidRDefault="00B25A88" w:rsidP="00D65861">
            <w:pPr>
              <w:rPr>
                <w:rFonts w:cs="Arial"/>
                <w:b/>
                <w:sz w:val="22"/>
                <w:szCs w:val="22"/>
              </w:rPr>
            </w:pPr>
            <w:r w:rsidRPr="00F64F8D">
              <w:rPr>
                <w:rFonts w:cs="Arial"/>
                <w:b/>
                <w:sz w:val="22"/>
                <w:szCs w:val="22"/>
              </w:rPr>
              <w:t>Annotated Bibliography due</w:t>
            </w:r>
            <w:r w:rsidR="00020301" w:rsidRPr="00F64F8D">
              <w:rPr>
                <w:rFonts w:cs="Arial"/>
                <w:b/>
                <w:sz w:val="22"/>
                <w:szCs w:val="22"/>
              </w:rPr>
              <w:t xml:space="preserve"> </w:t>
            </w:r>
            <w:r w:rsidRPr="00F64F8D">
              <w:rPr>
                <w:rFonts w:cs="Arial"/>
                <w:b/>
                <w:sz w:val="22"/>
                <w:szCs w:val="22"/>
              </w:rPr>
              <w:t>9/19</w:t>
            </w:r>
          </w:p>
          <w:p w:rsidR="00020301" w:rsidRPr="00902BB4" w:rsidRDefault="00322C69" w:rsidP="00A45E19">
            <w:pPr>
              <w:rPr>
                <w:rFonts w:cs="Arial"/>
                <w:sz w:val="22"/>
                <w:szCs w:val="22"/>
              </w:rPr>
            </w:pPr>
            <w:r>
              <w:rPr>
                <w:rFonts w:cs="Arial"/>
                <w:sz w:val="22"/>
                <w:szCs w:val="22"/>
              </w:rPr>
              <w:t xml:space="preserve">Group </w:t>
            </w:r>
            <w:r w:rsidR="00A45E19">
              <w:rPr>
                <w:rFonts w:cs="Arial"/>
                <w:sz w:val="22"/>
                <w:szCs w:val="22"/>
              </w:rPr>
              <w:t>9</w:t>
            </w:r>
            <w:r>
              <w:rPr>
                <w:rFonts w:cs="Arial"/>
                <w:sz w:val="22"/>
                <w:szCs w:val="22"/>
              </w:rPr>
              <w:t xml:space="preserve"> - </w:t>
            </w:r>
            <w:r w:rsidR="00B25A88">
              <w:rPr>
                <w:rFonts w:cs="Arial"/>
                <w:sz w:val="22"/>
                <w:szCs w:val="22"/>
              </w:rPr>
              <w:t>Old Infectious Diseases (9)</w:t>
            </w:r>
          </w:p>
        </w:tc>
      </w:tr>
      <w:tr w:rsidR="00020301" w:rsidRPr="00902BB4" w:rsidTr="00322C69">
        <w:trPr>
          <w:trHeight w:val="800"/>
        </w:trPr>
        <w:tc>
          <w:tcPr>
            <w:tcW w:w="1341" w:type="dxa"/>
            <w:vAlign w:val="center"/>
          </w:tcPr>
          <w:p w:rsidR="00020301" w:rsidRPr="00902BB4" w:rsidRDefault="00020301" w:rsidP="006C3CED">
            <w:pPr>
              <w:jc w:val="center"/>
              <w:rPr>
                <w:rFonts w:cs="Arial"/>
                <w:b/>
                <w:sz w:val="22"/>
                <w:szCs w:val="22"/>
              </w:rPr>
            </w:pPr>
            <w:r w:rsidRPr="00902BB4">
              <w:rPr>
                <w:rFonts w:cs="Arial"/>
                <w:b/>
                <w:sz w:val="22"/>
                <w:szCs w:val="22"/>
              </w:rPr>
              <w:t>Week 5</w:t>
            </w:r>
          </w:p>
          <w:p w:rsidR="00020301" w:rsidRPr="00902BB4" w:rsidRDefault="00020301" w:rsidP="006C3CED">
            <w:pPr>
              <w:jc w:val="center"/>
              <w:rPr>
                <w:rFonts w:cs="Arial"/>
                <w:b/>
                <w:sz w:val="22"/>
                <w:szCs w:val="22"/>
              </w:rPr>
            </w:pPr>
            <w:r w:rsidRPr="00902BB4">
              <w:rPr>
                <w:rFonts w:cs="Arial"/>
                <w:sz w:val="22"/>
                <w:szCs w:val="22"/>
              </w:rPr>
              <w:t>9/2</w:t>
            </w:r>
            <w:r>
              <w:rPr>
                <w:rFonts w:cs="Arial"/>
                <w:sz w:val="22"/>
                <w:szCs w:val="22"/>
              </w:rPr>
              <w:t>6-30</w:t>
            </w:r>
          </w:p>
        </w:tc>
        <w:tc>
          <w:tcPr>
            <w:tcW w:w="8194" w:type="dxa"/>
            <w:vAlign w:val="center"/>
          </w:tcPr>
          <w:p w:rsidR="00020301" w:rsidRPr="00902BB4" w:rsidRDefault="00322C69" w:rsidP="00A45E19">
            <w:pPr>
              <w:rPr>
                <w:rFonts w:cs="Arial"/>
                <w:sz w:val="22"/>
                <w:szCs w:val="22"/>
              </w:rPr>
            </w:pPr>
            <w:r>
              <w:rPr>
                <w:rFonts w:cs="Arial"/>
                <w:sz w:val="22"/>
                <w:szCs w:val="22"/>
              </w:rPr>
              <w:t xml:space="preserve">Group </w:t>
            </w:r>
            <w:r w:rsidR="00A45E19">
              <w:rPr>
                <w:rFonts w:cs="Arial"/>
                <w:sz w:val="22"/>
                <w:szCs w:val="22"/>
              </w:rPr>
              <w:t>1</w:t>
            </w:r>
            <w:r>
              <w:rPr>
                <w:rFonts w:cs="Arial"/>
                <w:sz w:val="22"/>
                <w:szCs w:val="22"/>
              </w:rPr>
              <w:t xml:space="preserve"> - </w:t>
            </w:r>
            <w:r w:rsidR="00B25A88">
              <w:rPr>
                <w:rFonts w:cs="Arial"/>
                <w:sz w:val="22"/>
                <w:szCs w:val="22"/>
              </w:rPr>
              <w:t>New</w:t>
            </w:r>
            <w:r w:rsidR="00D006E6">
              <w:rPr>
                <w:rFonts w:cs="Arial"/>
                <w:sz w:val="22"/>
                <w:szCs w:val="22"/>
              </w:rPr>
              <w:t xml:space="preserve"> (Emerging)</w:t>
            </w:r>
            <w:r w:rsidR="00B25A88">
              <w:rPr>
                <w:rFonts w:cs="Arial"/>
                <w:sz w:val="22"/>
                <w:szCs w:val="22"/>
              </w:rPr>
              <w:t xml:space="preserve"> Infectious Diseases</w:t>
            </w:r>
            <w:r w:rsidR="00020301" w:rsidRPr="00902BB4">
              <w:rPr>
                <w:rFonts w:cs="Arial"/>
                <w:sz w:val="22"/>
                <w:szCs w:val="22"/>
              </w:rPr>
              <w:t xml:space="preserve"> (10)</w:t>
            </w:r>
          </w:p>
        </w:tc>
      </w:tr>
      <w:tr w:rsidR="00020301" w:rsidRPr="00902BB4" w:rsidTr="00322C69">
        <w:trPr>
          <w:trHeight w:val="701"/>
        </w:trPr>
        <w:tc>
          <w:tcPr>
            <w:tcW w:w="1341" w:type="dxa"/>
            <w:vAlign w:val="center"/>
          </w:tcPr>
          <w:p w:rsidR="00020301" w:rsidRPr="00902BB4" w:rsidRDefault="00020301" w:rsidP="006C3CED">
            <w:pPr>
              <w:jc w:val="center"/>
              <w:rPr>
                <w:rFonts w:cs="Arial"/>
                <w:b/>
                <w:sz w:val="22"/>
                <w:szCs w:val="22"/>
              </w:rPr>
            </w:pPr>
            <w:r w:rsidRPr="00902BB4">
              <w:rPr>
                <w:rFonts w:cs="Arial"/>
                <w:b/>
                <w:sz w:val="22"/>
                <w:szCs w:val="22"/>
              </w:rPr>
              <w:t>Week 6</w:t>
            </w:r>
          </w:p>
          <w:p w:rsidR="00020301" w:rsidRPr="00902BB4" w:rsidRDefault="00020301" w:rsidP="006C3CED">
            <w:pPr>
              <w:jc w:val="center"/>
              <w:rPr>
                <w:rFonts w:cs="Arial"/>
                <w:sz w:val="22"/>
                <w:szCs w:val="22"/>
              </w:rPr>
            </w:pPr>
            <w:r w:rsidRPr="00902BB4">
              <w:rPr>
                <w:rFonts w:cs="Arial"/>
                <w:sz w:val="22"/>
                <w:szCs w:val="22"/>
              </w:rPr>
              <w:t>10/</w:t>
            </w:r>
            <w:r>
              <w:rPr>
                <w:rFonts w:cs="Arial"/>
                <w:sz w:val="22"/>
                <w:szCs w:val="22"/>
              </w:rPr>
              <w:t>2-7</w:t>
            </w:r>
          </w:p>
        </w:tc>
        <w:tc>
          <w:tcPr>
            <w:tcW w:w="8194" w:type="dxa"/>
            <w:vAlign w:val="center"/>
          </w:tcPr>
          <w:p w:rsidR="00020301" w:rsidRPr="00902BB4" w:rsidRDefault="00322C69" w:rsidP="00A45E19">
            <w:pPr>
              <w:rPr>
                <w:rFonts w:cs="Arial"/>
                <w:b/>
                <w:sz w:val="22"/>
                <w:szCs w:val="22"/>
              </w:rPr>
            </w:pPr>
            <w:r>
              <w:rPr>
                <w:rFonts w:cs="Arial"/>
                <w:sz w:val="22"/>
                <w:szCs w:val="22"/>
              </w:rPr>
              <w:t xml:space="preserve">Group </w:t>
            </w:r>
            <w:r w:rsidR="00A45E19">
              <w:rPr>
                <w:rFonts w:cs="Arial"/>
                <w:sz w:val="22"/>
                <w:szCs w:val="22"/>
              </w:rPr>
              <w:t>8</w:t>
            </w:r>
            <w:r>
              <w:rPr>
                <w:rFonts w:cs="Arial"/>
                <w:sz w:val="22"/>
                <w:szCs w:val="22"/>
              </w:rPr>
              <w:t xml:space="preserve"> - </w:t>
            </w:r>
            <w:r w:rsidR="00FF77CD">
              <w:rPr>
                <w:rFonts w:cs="Arial"/>
                <w:sz w:val="22"/>
                <w:szCs w:val="22"/>
              </w:rPr>
              <w:t>Chronic &amp; Genetic Diseases (11-12)</w:t>
            </w:r>
          </w:p>
        </w:tc>
      </w:tr>
      <w:tr w:rsidR="00020301" w:rsidRPr="00902BB4" w:rsidTr="00322C69">
        <w:trPr>
          <w:trHeight w:val="809"/>
        </w:trPr>
        <w:tc>
          <w:tcPr>
            <w:tcW w:w="1341" w:type="dxa"/>
            <w:vAlign w:val="center"/>
          </w:tcPr>
          <w:p w:rsidR="00020301" w:rsidRPr="00902BB4" w:rsidRDefault="00020301" w:rsidP="006C3CED">
            <w:pPr>
              <w:jc w:val="center"/>
              <w:rPr>
                <w:rFonts w:cs="Arial"/>
                <w:b/>
                <w:sz w:val="22"/>
                <w:szCs w:val="22"/>
              </w:rPr>
            </w:pPr>
            <w:r w:rsidRPr="00902BB4">
              <w:rPr>
                <w:rFonts w:cs="Arial"/>
                <w:b/>
                <w:sz w:val="22"/>
                <w:szCs w:val="22"/>
              </w:rPr>
              <w:t>Week 7</w:t>
            </w:r>
          </w:p>
          <w:p w:rsidR="00020301" w:rsidRPr="00902BB4" w:rsidRDefault="00020301" w:rsidP="006C3CED">
            <w:pPr>
              <w:jc w:val="center"/>
              <w:rPr>
                <w:rFonts w:cs="Arial"/>
                <w:sz w:val="22"/>
                <w:szCs w:val="22"/>
              </w:rPr>
            </w:pPr>
            <w:r>
              <w:rPr>
                <w:rFonts w:cs="Arial"/>
                <w:sz w:val="22"/>
                <w:szCs w:val="22"/>
              </w:rPr>
              <w:t>10/10-12</w:t>
            </w:r>
          </w:p>
        </w:tc>
        <w:tc>
          <w:tcPr>
            <w:tcW w:w="8194" w:type="dxa"/>
            <w:vAlign w:val="center"/>
          </w:tcPr>
          <w:p w:rsidR="00020301" w:rsidRPr="00902BB4" w:rsidRDefault="00FF77CD" w:rsidP="00F64F8D">
            <w:pPr>
              <w:rPr>
                <w:rFonts w:cs="Arial"/>
                <w:sz w:val="22"/>
                <w:szCs w:val="22"/>
              </w:rPr>
            </w:pPr>
            <w:r>
              <w:rPr>
                <w:rFonts w:cs="Arial"/>
                <w:sz w:val="22"/>
                <w:szCs w:val="22"/>
              </w:rPr>
              <w:t xml:space="preserve">M=Catch up &amp; Review;  </w:t>
            </w:r>
            <w:r w:rsidRPr="00FF77CD">
              <w:rPr>
                <w:rFonts w:cs="Arial"/>
                <w:b/>
                <w:sz w:val="22"/>
                <w:szCs w:val="22"/>
              </w:rPr>
              <w:t>W</w:t>
            </w:r>
            <w:r w:rsidR="00271D05">
              <w:rPr>
                <w:rFonts w:cs="Arial"/>
                <w:b/>
                <w:sz w:val="22"/>
                <w:szCs w:val="22"/>
              </w:rPr>
              <w:t xml:space="preserve"> </w:t>
            </w:r>
            <w:r w:rsidRPr="00FF77CD">
              <w:rPr>
                <w:rFonts w:cs="Arial"/>
                <w:b/>
                <w:sz w:val="22"/>
                <w:szCs w:val="22"/>
              </w:rPr>
              <w:t>=</w:t>
            </w:r>
            <w:r w:rsidR="00271D05">
              <w:rPr>
                <w:rFonts w:cs="Arial"/>
                <w:b/>
                <w:sz w:val="22"/>
                <w:szCs w:val="22"/>
              </w:rPr>
              <w:t xml:space="preserve"> </w:t>
            </w:r>
            <w:r w:rsidR="00F64F8D">
              <w:rPr>
                <w:rFonts w:cs="Arial"/>
                <w:b/>
                <w:sz w:val="22"/>
                <w:szCs w:val="22"/>
              </w:rPr>
              <w:t>Issue</w:t>
            </w:r>
            <w:r w:rsidRPr="00FF77CD">
              <w:rPr>
                <w:rFonts w:cs="Arial"/>
                <w:b/>
                <w:sz w:val="22"/>
                <w:szCs w:val="22"/>
              </w:rPr>
              <w:t xml:space="preserve"> Exam </w:t>
            </w:r>
            <w:r w:rsidR="00F64F8D">
              <w:rPr>
                <w:rFonts w:cs="Arial"/>
                <w:b/>
                <w:sz w:val="22"/>
                <w:szCs w:val="22"/>
              </w:rPr>
              <w:t xml:space="preserve">1 </w:t>
            </w:r>
            <w:r w:rsidRPr="00FF77CD">
              <w:rPr>
                <w:rFonts w:cs="Arial"/>
                <w:b/>
                <w:sz w:val="22"/>
                <w:szCs w:val="22"/>
              </w:rPr>
              <w:t>(10/12)</w:t>
            </w:r>
            <w:r w:rsidR="00020301" w:rsidRPr="00FF77CD">
              <w:rPr>
                <w:rFonts w:cs="Arial"/>
                <w:sz w:val="22"/>
                <w:szCs w:val="22"/>
              </w:rPr>
              <w:t xml:space="preserve"> </w:t>
            </w:r>
            <w:r>
              <w:rPr>
                <w:rFonts w:cs="Arial"/>
                <w:sz w:val="22"/>
                <w:szCs w:val="22"/>
              </w:rPr>
              <w:br/>
            </w:r>
            <w:r w:rsidR="00020301" w:rsidRPr="00FF77CD">
              <w:rPr>
                <w:rFonts w:cs="Arial"/>
                <w:sz w:val="22"/>
                <w:szCs w:val="22"/>
              </w:rPr>
              <w:t>No class Friday—Long Weekend</w:t>
            </w:r>
            <w:r>
              <w:rPr>
                <w:rFonts w:cs="Arial"/>
                <w:sz w:val="22"/>
                <w:szCs w:val="22"/>
              </w:rPr>
              <w:t xml:space="preserve"> !!!</w:t>
            </w:r>
          </w:p>
        </w:tc>
      </w:tr>
      <w:tr w:rsidR="00020301" w:rsidRPr="00902BB4" w:rsidTr="00322C69">
        <w:trPr>
          <w:trHeight w:val="800"/>
        </w:trPr>
        <w:tc>
          <w:tcPr>
            <w:tcW w:w="1341" w:type="dxa"/>
            <w:vAlign w:val="center"/>
          </w:tcPr>
          <w:p w:rsidR="00020301" w:rsidRPr="00902BB4" w:rsidRDefault="00020301" w:rsidP="006C3CED">
            <w:pPr>
              <w:jc w:val="center"/>
              <w:rPr>
                <w:rFonts w:cs="Arial"/>
                <w:b/>
                <w:sz w:val="22"/>
                <w:szCs w:val="22"/>
              </w:rPr>
            </w:pPr>
            <w:r w:rsidRPr="00902BB4">
              <w:rPr>
                <w:rFonts w:cs="Arial"/>
                <w:b/>
                <w:sz w:val="22"/>
                <w:szCs w:val="22"/>
              </w:rPr>
              <w:t>Week 8</w:t>
            </w:r>
          </w:p>
          <w:p w:rsidR="00020301" w:rsidRPr="00902BB4" w:rsidRDefault="00020301" w:rsidP="006C3CED">
            <w:pPr>
              <w:jc w:val="center"/>
              <w:rPr>
                <w:rFonts w:cs="Arial"/>
                <w:sz w:val="22"/>
                <w:szCs w:val="22"/>
              </w:rPr>
            </w:pPr>
            <w:r>
              <w:rPr>
                <w:rFonts w:cs="Arial"/>
                <w:sz w:val="22"/>
                <w:szCs w:val="22"/>
              </w:rPr>
              <w:t>10/17-21</w:t>
            </w:r>
          </w:p>
        </w:tc>
        <w:tc>
          <w:tcPr>
            <w:tcW w:w="8194" w:type="dxa"/>
            <w:vAlign w:val="center"/>
          </w:tcPr>
          <w:p w:rsidR="00020301" w:rsidRPr="0055071E" w:rsidRDefault="00322C69" w:rsidP="00A45E19">
            <w:pPr>
              <w:rPr>
                <w:rFonts w:cs="Arial"/>
                <w:b/>
                <w:sz w:val="22"/>
                <w:szCs w:val="22"/>
              </w:rPr>
            </w:pPr>
            <w:r>
              <w:rPr>
                <w:rFonts w:cs="Arial"/>
                <w:sz w:val="22"/>
                <w:szCs w:val="22"/>
              </w:rPr>
              <w:t xml:space="preserve">Group </w:t>
            </w:r>
            <w:r w:rsidR="00A45E19">
              <w:rPr>
                <w:rFonts w:cs="Arial"/>
                <w:sz w:val="22"/>
                <w:szCs w:val="22"/>
              </w:rPr>
              <w:t>6</w:t>
            </w:r>
            <w:r>
              <w:rPr>
                <w:rFonts w:cs="Arial"/>
                <w:sz w:val="22"/>
                <w:szCs w:val="22"/>
              </w:rPr>
              <w:t xml:space="preserve"> - </w:t>
            </w:r>
            <w:r w:rsidR="00F64F8D">
              <w:rPr>
                <w:rFonts w:cs="Arial"/>
                <w:sz w:val="22"/>
                <w:szCs w:val="22"/>
              </w:rPr>
              <w:t xml:space="preserve">Tobacco &amp; Other </w:t>
            </w:r>
            <w:r w:rsidR="0055071E">
              <w:rPr>
                <w:rFonts w:cs="Arial"/>
                <w:sz w:val="22"/>
                <w:szCs w:val="22"/>
              </w:rPr>
              <w:t>Drugs</w:t>
            </w:r>
            <w:r w:rsidR="00F64F8D">
              <w:rPr>
                <w:rFonts w:cs="Arial"/>
                <w:sz w:val="22"/>
                <w:szCs w:val="22"/>
              </w:rPr>
              <w:t>, Mental Health</w:t>
            </w:r>
            <w:r w:rsidR="0055071E">
              <w:rPr>
                <w:rFonts w:cs="Arial"/>
                <w:sz w:val="22"/>
                <w:szCs w:val="22"/>
              </w:rPr>
              <w:t xml:space="preserve"> (</w:t>
            </w:r>
            <w:r w:rsidR="00F64F8D">
              <w:rPr>
                <w:rFonts w:cs="Arial"/>
                <w:sz w:val="22"/>
                <w:szCs w:val="22"/>
              </w:rPr>
              <w:t>15, 19)</w:t>
            </w:r>
          </w:p>
        </w:tc>
      </w:tr>
      <w:tr w:rsidR="00020301" w:rsidRPr="00902BB4" w:rsidTr="00322C69">
        <w:trPr>
          <w:trHeight w:val="809"/>
        </w:trPr>
        <w:tc>
          <w:tcPr>
            <w:tcW w:w="1341" w:type="dxa"/>
            <w:vAlign w:val="center"/>
          </w:tcPr>
          <w:p w:rsidR="00020301" w:rsidRPr="00902BB4" w:rsidRDefault="00020301" w:rsidP="006C3CED">
            <w:pPr>
              <w:jc w:val="center"/>
              <w:rPr>
                <w:rFonts w:cs="Arial"/>
                <w:b/>
                <w:sz w:val="22"/>
                <w:szCs w:val="22"/>
              </w:rPr>
            </w:pPr>
            <w:r w:rsidRPr="00902BB4">
              <w:rPr>
                <w:rFonts w:cs="Arial"/>
                <w:b/>
                <w:sz w:val="22"/>
                <w:szCs w:val="22"/>
              </w:rPr>
              <w:t>Week 9</w:t>
            </w:r>
          </w:p>
          <w:p w:rsidR="00020301" w:rsidRPr="00902BB4" w:rsidRDefault="00020301" w:rsidP="006C3CED">
            <w:pPr>
              <w:jc w:val="center"/>
              <w:rPr>
                <w:rFonts w:cs="Arial"/>
                <w:sz w:val="22"/>
                <w:szCs w:val="22"/>
              </w:rPr>
            </w:pPr>
            <w:r>
              <w:rPr>
                <w:rFonts w:cs="Arial"/>
                <w:sz w:val="22"/>
                <w:szCs w:val="22"/>
              </w:rPr>
              <w:t>10/24</w:t>
            </w:r>
            <w:r w:rsidRPr="00902BB4">
              <w:rPr>
                <w:rFonts w:cs="Arial"/>
                <w:sz w:val="22"/>
                <w:szCs w:val="22"/>
              </w:rPr>
              <w:t>-2</w:t>
            </w:r>
            <w:r>
              <w:rPr>
                <w:rFonts w:cs="Arial"/>
                <w:sz w:val="22"/>
                <w:szCs w:val="22"/>
              </w:rPr>
              <w:t>8</w:t>
            </w:r>
          </w:p>
        </w:tc>
        <w:tc>
          <w:tcPr>
            <w:tcW w:w="8194" w:type="dxa"/>
            <w:vAlign w:val="center"/>
          </w:tcPr>
          <w:p w:rsidR="00020301" w:rsidRPr="00902BB4" w:rsidRDefault="00322C69" w:rsidP="00A45E19">
            <w:pPr>
              <w:rPr>
                <w:rFonts w:cs="Arial"/>
                <w:sz w:val="22"/>
                <w:szCs w:val="22"/>
              </w:rPr>
            </w:pPr>
            <w:r>
              <w:rPr>
                <w:rFonts w:cs="Arial"/>
                <w:sz w:val="22"/>
                <w:szCs w:val="22"/>
              </w:rPr>
              <w:t xml:space="preserve">Group </w:t>
            </w:r>
            <w:r w:rsidR="00A45E19">
              <w:rPr>
                <w:rFonts w:cs="Arial"/>
                <w:sz w:val="22"/>
                <w:szCs w:val="22"/>
              </w:rPr>
              <w:t>5</w:t>
            </w:r>
            <w:r>
              <w:rPr>
                <w:rFonts w:cs="Arial"/>
                <w:sz w:val="22"/>
                <w:szCs w:val="22"/>
              </w:rPr>
              <w:t xml:space="preserve"> - </w:t>
            </w:r>
            <w:r w:rsidR="00F64F8D">
              <w:rPr>
                <w:rFonts w:cs="Arial"/>
                <w:sz w:val="22"/>
                <w:szCs w:val="22"/>
              </w:rPr>
              <w:t>Obesity (16)</w:t>
            </w:r>
          </w:p>
        </w:tc>
      </w:tr>
      <w:tr w:rsidR="00020301" w:rsidRPr="00902BB4" w:rsidTr="00322C69">
        <w:trPr>
          <w:trHeight w:val="881"/>
        </w:trPr>
        <w:tc>
          <w:tcPr>
            <w:tcW w:w="1341" w:type="dxa"/>
            <w:vAlign w:val="center"/>
          </w:tcPr>
          <w:p w:rsidR="00020301" w:rsidRPr="00902BB4" w:rsidRDefault="00020301" w:rsidP="006C3CED">
            <w:pPr>
              <w:jc w:val="center"/>
              <w:rPr>
                <w:rFonts w:cs="Arial"/>
                <w:b/>
                <w:sz w:val="22"/>
                <w:szCs w:val="22"/>
              </w:rPr>
            </w:pPr>
            <w:r w:rsidRPr="00902BB4">
              <w:rPr>
                <w:rFonts w:cs="Arial"/>
                <w:b/>
                <w:sz w:val="22"/>
                <w:szCs w:val="22"/>
              </w:rPr>
              <w:t>Week 10</w:t>
            </w:r>
          </w:p>
          <w:p w:rsidR="00020301" w:rsidRPr="00902BB4" w:rsidRDefault="00020301" w:rsidP="006C3CED">
            <w:pPr>
              <w:jc w:val="center"/>
              <w:rPr>
                <w:rFonts w:cs="Arial"/>
                <w:sz w:val="22"/>
                <w:szCs w:val="22"/>
              </w:rPr>
            </w:pPr>
            <w:r>
              <w:rPr>
                <w:rFonts w:cs="Arial"/>
                <w:sz w:val="22"/>
                <w:szCs w:val="22"/>
              </w:rPr>
              <w:t>10/31-11/4</w:t>
            </w:r>
          </w:p>
        </w:tc>
        <w:tc>
          <w:tcPr>
            <w:tcW w:w="8194" w:type="dxa"/>
            <w:vAlign w:val="center"/>
          </w:tcPr>
          <w:p w:rsidR="00020301" w:rsidRPr="00902BB4" w:rsidRDefault="00322C69" w:rsidP="00A45E19">
            <w:pPr>
              <w:rPr>
                <w:rFonts w:cs="Arial"/>
                <w:sz w:val="22"/>
                <w:szCs w:val="22"/>
              </w:rPr>
            </w:pPr>
            <w:r>
              <w:rPr>
                <w:rFonts w:cs="Arial"/>
                <w:sz w:val="22"/>
                <w:szCs w:val="22"/>
              </w:rPr>
              <w:t xml:space="preserve">Group </w:t>
            </w:r>
            <w:r w:rsidR="00A45E19">
              <w:rPr>
                <w:rFonts w:cs="Arial"/>
                <w:sz w:val="22"/>
                <w:szCs w:val="22"/>
              </w:rPr>
              <w:t>10</w:t>
            </w:r>
            <w:r>
              <w:rPr>
                <w:rFonts w:cs="Arial"/>
                <w:sz w:val="22"/>
                <w:szCs w:val="22"/>
              </w:rPr>
              <w:t xml:space="preserve"> - </w:t>
            </w:r>
            <w:r w:rsidR="00F64F8D">
              <w:rPr>
                <w:rFonts w:cs="Arial"/>
                <w:sz w:val="22"/>
                <w:szCs w:val="22"/>
              </w:rPr>
              <w:t>Maternal &amp; Child Health (18)</w:t>
            </w:r>
          </w:p>
        </w:tc>
      </w:tr>
      <w:tr w:rsidR="00020301" w:rsidRPr="00902BB4" w:rsidTr="00322C69">
        <w:trPr>
          <w:trHeight w:val="899"/>
        </w:trPr>
        <w:tc>
          <w:tcPr>
            <w:tcW w:w="1341" w:type="dxa"/>
            <w:vAlign w:val="center"/>
          </w:tcPr>
          <w:p w:rsidR="00020301" w:rsidRPr="00902BB4" w:rsidRDefault="00020301" w:rsidP="006C3CED">
            <w:pPr>
              <w:jc w:val="center"/>
              <w:rPr>
                <w:rFonts w:cs="Arial"/>
                <w:b/>
                <w:sz w:val="22"/>
                <w:szCs w:val="22"/>
              </w:rPr>
            </w:pPr>
            <w:r w:rsidRPr="00902BB4">
              <w:rPr>
                <w:rFonts w:cs="Arial"/>
                <w:b/>
                <w:sz w:val="22"/>
                <w:szCs w:val="22"/>
              </w:rPr>
              <w:t>Week 11</w:t>
            </w:r>
          </w:p>
          <w:p w:rsidR="00020301" w:rsidRPr="00902BB4" w:rsidRDefault="00020301" w:rsidP="006C3CED">
            <w:pPr>
              <w:jc w:val="center"/>
              <w:rPr>
                <w:rFonts w:cs="Arial"/>
                <w:sz w:val="22"/>
                <w:szCs w:val="22"/>
              </w:rPr>
            </w:pPr>
            <w:r>
              <w:rPr>
                <w:rFonts w:cs="Arial"/>
                <w:sz w:val="22"/>
                <w:szCs w:val="22"/>
              </w:rPr>
              <w:t>11/7</w:t>
            </w:r>
            <w:r w:rsidRPr="00902BB4">
              <w:rPr>
                <w:rFonts w:cs="Arial"/>
                <w:sz w:val="22"/>
                <w:szCs w:val="22"/>
              </w:rPr>
              <w:t>-</w:t>
            </w:r>
            <w:r>
              <w:rPr>
                <w:rFonts w:cs="Arial"/>
                <w:sz w:val="22"/>
                <w:szCs w:val="22"/>
              </w:rPr>
              <w:t>11</w:t>
            </w:r>
          </w:p>
        </w:tc>
        <w:tc>
          <w:tcPr>
            <w:tcW w:w="8194" w:type="dxa"/>
            <w:vAlign w:val="center"/>
          </w:tcPr>
          <w:p w:rsidR="00D006E6" w:rsidRDefault="00D006E6" w:rsidP="00075552">
            <w:pPr>
              <w:rPr>
                <w:rFonts w:cs="Arial"/>
                <w:sz w:val="22"/>
                <w:szCs w:val="22"/>
              </w:rPr>
            </w:pPr>
            <w:r w:rsidRPr="00D006E6">
              <w:rPr>
                <w:rFonts w:cs="Arial"/>
                <w:b/>
                <w:sz w:val="22"/>
                <w:szCs w:val="22"/>
              </w:rPr>
              <w:t>M = Issue Exam 2 (11/7)</w:t>
            </w:r>
            <w:r>
              <w:rPr>
                <w:rFonts w:cs="Arial"/>
                <w:sz w:val="22"/>
                <w:szCs w:val="22"/>
              </w:rPr>
              <w:t xml:space="preserve"> </w:t>
            </w:r>
          </w:p>
          <w:p w:rsidR="00020301" w:rsidRPr="00D006E6" w:rsidRDefault="00322C69" w:rsidP="00A45E19">
            <w:pPr>
              <w:rPr>
                <w:rFonts w:cs="Arial"/>
                <w:b/>
                <w:sz w:val="22"/>
                <w:szCs w:val="22"/>
              </w:rPr>
            </w:pPr>
            <w:r>
              <w:rPr>
                <w:rFonts w:cs="Arial"/>
                <w:sz w:val="22"/>
                <w:szCs w:val="22"/>
              </w:rPr>
              <w:t xml:space="preserve">Group </w:t>
            </w:r>
            <w:r w:rsidR="00A45E19">
              <w:rPr>
                <w:rFonts w:cs="Arial"/>
                <w:sz w:val="22"/>
                <w:szCs w:val="22"/>
              </w:rPr>
              <w:t>4</w:t>
            </w:r>
            <w:bookmarkStart w:id="0" w:name="_GoBack"/>
            <w:bookmarkEnd w:id="0"/>
            <w:r>
              <w:rPr>
                <w:rFonts w:cs="Arial"/>
                <w:sz w:val="22"/>
                <w:szCs w:val="22"/>
              </w:rPr>
              <w:t xml:space="preserve"> - </w:t>
            </w:r>
            <w:r w:rsidR="00D006E6">
              <w:rPr>
                <w:rFonts w:cs="Arial"/>
                <w:sz w:val="22"/>
                <w:szCs w:val="22"/>
              </w:rPr>
              <w:t>Injuries, Hazards, Solid Waste (17, 20, 23)</w:t>
            </w:r>
          </w:p>
        </w:tc>
      </w:tr>
      <w:tr w:rsidR="00020301" w:rsidRPr="00902BB4" w:rsidTr="00322C69">
        <w:trPr>
          <w:trHeight w:val="881"/>
        </w:trPr>
        <w:tc>
          <w:tcPr>
            <w:tcW w:w="1341" w:type="dxa"/>
            <w:vAlign w:val="center"/>
          </w:tcPr>
          <w:p w:rsidR="00020301" w:rsidRPr="00902BB4" w:rsidRDefault="00020301" w:rsidP="006C3CED">
            <w:pPr>
              <w:jc w:val="center"/>
              <w:rPr>
                <w:rFonts w:cs="Arial"/>
                <w:b/>
                <w:sz w:val="22"/>
                <w:szCs w:val="22"/>
              </w:rPr>
            </w:pPr>
            <w:r w:rsidRPr="00902BB4">
              <w:rPr>
                <w:rFonts w:cs="Arial"/>
                <w:b/>
                <w:sz w:val="22"/>
                <w:szCs w:val="22"/>
              </w:rPr>
              <w:t>Week 12</w:t>
            </w:r>
            <w:r>
              <w:rPr>
                <w:rFonts w:cs="Arial"/>
                <w:b/>
                <w:sz w:val="22"/>
                <w:szCs w:val="22"/>
              </w:rPr>
              <w:t>+</w:t>
            </w:r>
          </w:p>
          <w:p w:rsidR="00020301" w:rsidRPr="00902BB4" w:rsidRDefault="00020301" w:rsidP="006C3CED">
            <w:pPr>
              <w:jc w:val="center"/>
              <w:rPr>
                <w:rFonts w:cs="Arial"/>
                <w:sz w:val="22"/>
                <w:szCs w:val="22"/>
              </w:rPr>
            </w:pPr>
            <w:r>
              <w:rPr>
                <w:rFonts w:cs="Arial"/>
                <w:sz w:val="22"/>
                <w:szCs w:val="22"/>
              </w:rPr>
              <w:t>11/14-21</w:t>
            </w:r>
          </w:p>
        </w:tc>
        <w:tc>
          <w:tcPr>
            <w:tcW w:w="8194" w:type="dxa"/>
            <w:vAlign w:val="center"/>
          </w:tcPr>
          <w:p w:rsidR="00020301" w:rsidRPr="00902BB4" w:rsidRDefault="00322C69" w:rsidP="00A45E19">
            <w:pPr>
              <w:rPr>
                <w:rFonts w:cs="Arial"/>
                <w:sz w:val="22"/>
                <w:szCs w:val="22"/>
              </w:rPr>
            </w:pPr>
            <w:r>
              <w:rPr>
                <w:rFonts w:cs="Arial"/>
                <w:sz w:val="22"/>
                <w:szCs w:val="22"/>
              </w:rPr>
              <w:t xml:space="preserve">Group </w:t>
            </w:r>
            <w:r w:rsidR="00A45E19">
              <w:rPr>
                <w:rFonts w:cs="Arial"/>
                <w:sz w:val="22"/>
                <w:szCs w:val="22"/>
              </w:rPr>
              <w:t>2</w:t>
            </w:r>
            <w:r>
              <w:rPr>
                <w:rFonts w:cs="Arial"/>
                <w:sz w:val="22"/>
                <w:szCs w:val="22"/>
              </w:rPr>
              <w:t xml:space="preserve"> - </w:t>
            </w:r>
            <w:r w:rsidR="00D006E6">
              <w:rPr>
                <w:rFonts w:cs="Arial"/>
                <w:sz w:val="22"/>
                <w:szCs w:val="22"/>
              </w:rPr>
              <w:t>Clean Air, Water &amp; Food (</w:t>
            </w:r>
            <w:r w:rsidR="00263C8B">
              <w:rPr>
                <w:rFonts w:cs="Arial"/>
                <w:sz w:val="22"/>
                <w:szCs w:val="22"/>
              </w:rPr>
              <w:t>21,22,24, 25)</w:t>
            </w:r>
          </w:p>
        </w:tc>
      </w:tr>
      <w:tr w:rsidR="00020301" w:rsidRPr="00902BB4" w:rsidTr="00322C69">
        <w:trPr>
          <w:trHeight w:val="800"/>
        </w:trPr>
        <w:tc>
          <w:tcPr>
            <w:tcW w:w="1341" w:type="dxa"/>
            <w:vAlign w:val="center"/>
          </w:tcPr>
          <w:p w:rsidR="00020301" w:rsidRPr="00902BB4" w:rsidRDefault="00020301" w:rsidP="006C3CED">
            <w:pPr>
              <w:jc w:val="center"/>
              <w:rPr>
                <w:rFonts w:cs="Arial"/>
                <w:b/>
                <w:sz w:val="22"/>
                <w:szCs w:val="22"/>
              </w:rPr>
            </w:pPr>
            <w:r w:rsidRPr="00902BB4">
              <w:rPr>
                <w:rFonts w:cs="Arial"/>
                <w:b/>
                <w:sz w:val="22"/>
                <w:szCs w:val="22"/>
              </w:rPr>
              <w:t>Week 13</w:t>
            </w:r>
          </w:p>
          <w:p w:rsidR="00020301" w:rsidRPr="00902BB4" w:rsidRDefault="00020301" w:rsidP="006C3CED">
            <w:pPr>
              <w:jc w:val="center"/>
              <w:rPr>
                <w:rFonts w:cs="Arial"/>
                <w:sz w:val="22"/>
                <w:szCs w:val="22"/>
              </w:rPr>
            </w:pPr>
            <w:r>
              <w:rPr>
                <w:rFonts w:cs="Arial"/>
                <w:sz w:val="22"/>
                <w:szCs w:val="22"/>
              </w:rPr>
              <w:t>11/28-12/2</w:t>
            </w:r>
          </w:p>
        </w:tc>
        <w:tc>
          <w:tcPr>
            <w:tcW w:w="8194" w:type="dxa"/>
            <w:vAlign w:val="center"/>
          </w:tcPr>
          <w:p w:rsidR="00020301" w:rsidRPr="00902BB4" w:rsidRDefault="00322C69" w:rsidP="00A45E19">
            <w:pPr>
              <w:rPr>
                <w:rFonts w:cs="Arial"/>
                <w:sz w:val="22"/>
                <w:szCs w:val="22"/>
              </w:rPr>
            </w:pPr>
            <w:r>
              <w:rPr>
                <w:rFonts w:cs="Arial"/>
                <w:sz w:val="22"/>
                <w:szCs w:val="22"/>
              </w:rPr>
              <w:t xml:space="preserve">Group </w:t>
            </w:r>
            <w:r w:rsidR="00A45E19">
              <w:rPr>
                <w:rFonts w:cs="Arial"/>
                <w:sz w:val="22"/>
                <w:szCs w:val="22"/>
              </w:rPr>
              <w:t>3</w:t>
            </w:r>
            <w:r>
              <w:rPr>
                <w:rFonts w:cs="Arial"/>
                <w:sz w:val="22"/>
                <w:szCs w:val="22"/>
              </w:rPr>
              <w:t xml:space="preserve"> - </w:t>
            </w:r>
            <w:r w:rsidR="00263C8B">
              <w:rPr>
                <w:rFonts w:cs="Arial"/>
                <w:sz w:val="22"/>
                <w:szCs w:val="22"/>
              </w:rPr>
              <w:t>Medical Systems (26-28)</w:t>
            </w:r>
          </w:p>
        </w:tc>
      </w:tr>
      <w:tr w:rsidR="00020301" w:rsidRPr="00902BB4" w:rsidTr="00322C69">
        <w:trPr>
          <w:trHeight w:val="899"/>
        </w:trPr>
        <w:tc>
          <w:tcPr>
            <w:tcW w:w="1341" w:type="dxa"/>
            <w:vAlign w:val="center"/>
          </w:tcPr>
          <w:p w:rsidR="00020301" w:rsidRPr="00902BB4" w:rsidRDefault="00020301" w:rsidP="006C3CED">
            <w:pPr>
              <w:jc w:val="center"/>
              <w:rPr>
                <w:rFonts w:cs="Arial"/>
                <w:b/>
                <w:sz w:val="22"/>
                <w:szCs w:val="22"/>
              </w:rPr>
            </w:pPr>
            <w:r w:rsidRPr="00902BB4">
              <w:rPr>
                <w:rFonts w:cs="Arial"/>
                <w:b/>
                <w:sz w:val="22"/>
                <w:szCs w:val="22"/>
              </w:rPr>
              <w:t>Week 14</w:t>
            </w:r>
          </w:p>
          <w:p w:rsidR="00020301" w:rsidRPr="00902BB4" w:rsidRDefault="00020301" w:rsidP="006C3CED">
            <w:pPr>
              <w:jc w:val="center"/>
              <w:rPr>
                <w:rFonts w:cs="Arial"/>
                <w:sz w:val="22"/>
                <w:szCs w:val="22"/>
              </w:rPr>
            </w:pPr>
            <w:r>
              <w:rPr>
                <w:rFonts w:cs="Arial"/>
                <w:sz w:val="22"/>
                <w:szCs w:val="22"/>
              </w:rPr>
              <w:t>12/5</w:t>
            </w:r>
            <w:r w:rsidR="00D006E6">
              <w:rPr>
                <w:rFonts w:cs="Arial"/>
                <w:sz w:val="22"/>
                <w:szCs w:val="22"/>
              </w:rPr>
              <w:t>-</w:t>
            </w:r>
            <w:r>
              <w:rPr>
                <w:rFonts w:cs="Arial"/>
                <w:sz w:val="22"/>
                <w:szCs w:val="22"/>
              </w:rPr>
              <w:t>9</w:t>
            </w:r>
          </w:p>
        </w:tc>
        <w:tc>
          <w:tcPr>
            <w:tcW w:w="8194" w:type="dxa"/>
            <w:vAlign w:val="center"/>
          </w:tcPr>
          <w:p w:rsidR="00020301" w:rsidRPr="00902BB4" w:rsidRDefault="00322C69" w:rsidP="00A45E19">
            <w:pPr>
              <w:rPr>
                <w:rFonts w:cs="Arial"/>
                <w:sz w:val="22"/>
                <w:szCs w:val="22"/>
              </w:rPr>
            </w:pPr>
            <w:r>
              <w:rPr>
                <w:rFonts w:cs="Arial"/>
                <w:sz w:val="22"/>
                <w:szCs w:val="22"/>
              </w:rPr>
              <w:t xml:space="preserve">Group </w:t>
            </w:r>
            <w:r w:rsidR="00A45E19">
              <w:rPr>
                <w:rFonts w:cs="Arial"/>
                <w:sz w:val="22"/>
                <w:szCs w:val="22"/>
              </w:rPr>
              <w:t>7</w:t>
            </w:r>
            <w:r>
              <w:rPr>
                <w:rFonts w:cs="Arial"/>
                <w:sz w:val="22"/>
                <w:szCs w:val="22"/>
              </w:rPr>
              <w:t xml:space="preserve"> - </w:t>
            </w:r>
            <w:r w:rsidR="00263C8B">
              <w:rPr>
                <w:rFonts w:cs="Arial"/>
                <w:sz w:val="22"/>
                <w:szCs w:val="22"/>
              </w:rPr>
              <w:t>Aging, Emergencies, the Future! (29-31)</w:t>
            </w:r>
          </w:p>
        </w:tc>
      </w:tr>
      <w:tr w:rsidR="00D006E6" w:rsidRPr="00902BB4" w:rsidTr="00322C69">
        <w:trPr>
          <w:trHeight w:val="872"/>
        </w:trPr>
        <w:tc>
          <w:tcPr>
            <w:tcW w:w="1341" w:type="dxa"/>
            <w:vAlign w:val="center"/>
          </w:tcPr>
          <w:p w:rsidR="00D006E6" w:rsidRPr="00902BB4" w:rsidRDefault="00D006E6" w:rsidP="00D006E6">
            <w:pPr>
              <w:jc w:val="center"/>
              <w:rPr>
                <w:rFonts w:cs="Arial"/>
                <w:b/>
                <w:sz w:val="22"/>
                <w:szCs w:val="22"/>
              </w:rPr>
            </w:pPr>
            <w:r>
              <w:rPr>
                <w:rFonts w:cs="Arial"/>
                <w:b/>
                <w:sz w:val="22"/>
                <w:szCs w:val="22"/>
              </w:rPr>
              <w:t>Week 15</w:t>
            </w:r>
          </w:p>
          <w:p w:rsidR="00D006E6" w:rsidRPr="00902BB4" w:rsidRDefault="00D006E6" w:rsidP="00D006E6">
            <w:pPr>
              <w:jc w:val="center"/>
              <w:rPr>
                <w:rFonts w:cs="Arial"/>
                <w:b/>
                <w:sz w:val="22"/>
                <w:szCs w:val="22"/>
              </w:rPr>
            </w:pPr>
            <w:r>
              <w:rPr>
                <w:rFonts w:cs="Arial"/>
                <w:sz w:val="22"/>
                <w:szCs w:val="22"/>
              </w:rPr>
              <w:t>12/12-16</w:t>
            </w:r>
          </w:p>
        </w:tc>
        <w:tc>
          <w:tcPr>
            <w:tcW w:w="8194" w:type="dxa"/>
            <w:vAlign w:val="center"/>
          </w:tcPr>
          <w:p w:rsidR="00D006E6" w:rsidRPr="00902BB4" w:rsidRDefault="00D006E6" w:rsidP="005E7467">
            <w:pPr>
              <w:rPr>
                <w:rFonts w:cs="Arial"/>
                <w:sz w:val="22"/>
                <w:szCs w:val="22"/>
              </w:rPr>
            </w:pPr>
            <w:r w:rsidRPr="00D006E6">
              <w:rPr>
                <w:rFonts w:cs="Arial"/>
                <w:b/>
                <w:sz w:val="22"/>
                <w:szCs w:val="22"/>
              </w:rPr>
              <w:t>Issue Exam 3</w:t>
            </w:r>
            <w:r>
              <w:rPr>
                <w:rFonts w:cs="Arial"/>
                <w:sz w:val="22"/>
                <w:szCs w:val="22"/>
              </w:rPr>
              <w:t xml:space="preserve"> (Final scheduled by Registrar)</w:t>
            </w:r>
          </w:p>
        </w:tc>
      </w:tr>
    </w:tbl>
    <w:p w:rsidR="00B81243" w:rsidRPr="00902BB4" w:rsidRDefault="00B81243" w:rsidP="00623D5D">
      <w:pPr>
        <w:spacing w:line="276" w:lineRule="auto"/>
        <w:rPr>
          <w:rFonts w:cs="Arial"/>
          <w:sz w:val="22"/>
          <w:szCs w:val="22"/>
        </w:rPr>
      </w:pPr>
    </w:p>
    <w:sectPr w:rsidR="00B81243" w:rsidRPr="00902BB4">
      <w:pgSz w:w="12240" w:h="15840"/>
      <w:pgMar w:top="864"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7CD0"/>
    <w:multiLevelType w:val="hybridMultilevel"/>
    <w:tmpl w:val="F44EDC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FF5578"/>
    <w:multiLevelType w:val="hybridMultilevel"/>
    <w:tmpl w:val="2D8CD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A6F6F"/>
    <w:multiLevelType w:val="hybridMultilevel"/>
    <w:tmpl w:val="5B204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B21A08"/>
    <w:multiLevelType w:val="hybridMultilevel"/>
    <w:tmpl w:val="C9DA2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884EDC"/>
    <w:multiLevelType w:val="hybridMultilevel"/>
    <w:tmpl w:val="30FA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516F5"/>
    <w:multiLevelType w:val="hybridMultilevel"/>
    <w:tmpl w:val="F9A4B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013E3D"/>
    <w:multiLevelType w:val="multilevel"/>
    <w:tmpl w:val="DFFEB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CD158D"/>
    <w:multiLevelType w:val="hybridMultilevel"/>
    <w:tmpl w:val="CF0EC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AF1B24"/>
    <w:multiLevelType w:val="multilevel"/>
    <w:tmpl w:val="C5144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0478F6"/>
    <w:multiLevelType w:val="hybridMultilevel"/>
    <w:tmpl w:val="A0F6AEF4"/>
    <w:lvl w:ilvl="0" w:tplc="1172A4E8">
      <w:start w:val="1"/>
      <w:numFmt w:val="bullet"/>
      <w:lvlText w:val=""/>
      <w:lvlJc w:val="left"/>
      <w:pPr>
        <w:tabs>
          <w:tab w:val="num" w:pos="720"/>
        </w:tabs>
        <w:ind w:left="720" w:hanging="360"/>
      </w:pPr>
      <w:rPr>
        <w:rFonts w:ascii="Symbol" w:hAnsi="Symbol" w:hint="default"/>
      </w:rPr>
    </w:lvl>
    <w:lvl w:ilvl="1" w:tplc="CB0ADF96" w:tentative="1">
      <w:start w:val="1"/>
      <w:numFmt w:val="bullet"/>
      <w:lvlText w:val="o"/>
      <w:lvlJc w:val="left"/>
      <w:pPr>
        <w:tabs>
          <w:tab w:val="num" w:pos="1440"/>
        </w:tabs>
        <w:ind w:left="1440" w:hanging="360"/>
      </w:pPr>
      <w:rPr>
        <w:rFonts w:ascii="Courier New" w:hAnsi="Courier New" w:hint="default"/>
      </w:rPr>
    </w:lvl>
    <w:lvl w:ilvl="2" w:tplc="2354B65A" w:tentative="1">
      <w:start w:val="1"/>
      <w:numFmt w:val="bullet"/>
      <w:lvlText w:val=""/>
      <w:lvlJc w:val="left"/>
      <w:pPr>
        <w:tabs>
          <w:tab w:val="num" w:pos="2160"/>
        </w:tabs>
        <w:ind w:left="2160" w:hanging="360"/>
      </w:pPr>
      <w:rPr>
        <w:rFonts w:ascii="Wingdings" w:hAnsi="Wingdings" w:hint="default"/>
      </w:rPr>
    </w:lvl>
    <w:lvl w:ilvl="3" w:tplc="16C4DA48" w:tentative="1">
      <w:start w:val="1"/>
      <w:numFmt w:val="bullet"/>
      <w:lvlText w:val=""/>
      <w:lvlJc w:val="left"/>
      <w:pPr>
        <w:tabs>
          <w:tab w:val="num" w:pos="2880"/>
        </w:tabs>
        <w:ind w:left="2880" w:hanging="360"/>
      </w:pPr>
      <w:rPr>
        <w:rFonts w:ascii="Symbol" w:hAnsi="Symbol" w:hint="default"/>
      </w:rPr>
    </w:lvl>
    <w:lvl w:ilvl="4" w:tplc="88B890DE" w:tentative="1">
      <w:start w:val="1"/>
      <w:numFmt w:val="bullet"/>
      <w:lvlText w:val="o"/>
      <w:lvlJc w:val="left"/>
      <w:pPr>
        <w:tabs>
          <w:tab w:val="num" w:pos="3600"/>
        </w:tabs>
        <w:ind w:left="3600" w:hanging="360"/>
      </w:pPr>
      <w:rPr>
        <w:rFonts w:ascii="Courier New" w:hAnsi="Courier New" w:hint="default"/>
      </w:rPr>
    </w:lvl>
    <w:lvl w:ilvl="5" w:tplc="0382F3B4" w:tentative="1">
      <w:start w:val="1"/>
      <w:numFmt w:val="bullet"/>
      <w:lvlText w:val=""/>
      <w:lvlJc w:val="left"/>
      <w:pPr>
        <w:tabs>
          <w:tab w:val="num" w:pos="4320"/>
        </w:tabs>
        <w:ind w:left="4320" w:hanging="360"/>
      </w:pPr>
      <w:rPr>
        <w:rFonts w:ascii="Wingdings" w:hAnsi="Wingdings" w:hint="default"/>
      </w:rPr>
    </w:lvl>
    <w:lvl w:ilvl="6" w:tplc="08B8CB98" w:tentative="1">
      <w:start w:val="1"/>
      <w:numFmt w:val="bullet"/>
      <w:lvlText w:val=""/>
      <w:lvlJc w:val="left"/>
      <w:pPr>
        <w:tabs>
          <w:tab w:val="num" w:pos="5040"/>
        </w:tabs>
        <w:ind w:left="5040" w:hanging="360"/>
      </w:pPr>
      <w:rPr>
        <w:rFonts w:ascii="Symbol" w:hAnsi="Symbol" w:hint="default"/>
      </w:rPr>
    </w:lvl>
    <w:lvl w:ilvl="7" w:tplc="0AE42764" w:tentative="1">
      <w:start w:val="1"/>
      <w:numFmt w:val="bullet"/>
      <w:lvlText w:val="o"/>
      <w:lvlJc w:val="left"/>
      <w:pPr>
        <w:tabs>
          <w:tab w:val="num" w:pos="5760"/>
        </w:tabs>
        <w:ind w:left="5760" w:hanging="360"/>
      </w:pPr>
      <w:rPr>
        <w:rFonts w:ascii="Courier New" w:hAnsi="Courier New" w:hint="default"/>
      </w:rPr>
    </w:lvl>
    <w:lvl w:ilvl="8" w:tplc="B07C1CE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0A61D1"/>
    <w:multiLevelType w:val="hybridMultilevel"/>
    <w:tmpl w:val="B71050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0"/>
  </w:num>
  <w:num w:numId="4">
    <w:abstractNumId w:val="3"/>
  </w:num>
  <w:num w:numId="5">
    <w:abstractNumId w:val="5"/>
  </w:num>
  <w:num w:numId="6">
    <w:abstractNumId w:val="10"/>
  </w:num>
  <w:num w:numId="7">
    <w:abstractNumId w:val="2"/>
  </w:num>
  <w:num w:numId="8">
    <w:abstractNumId w:val="4"/>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B70"/>
    <w:rsid w:val="0000651A"/>
    <w:rsid w:val="00006FD8"/>
    <w:rsid w:val="000120FF"/>
    <w:rsid w:val="00015B8A"/>
    <w:rsid w:val="00020301"/>
    <w:rsid w:val="00022B98"/>
    <w:rsid w:val="00025A05"/>
    <w:rsid w:val="00030995"/>
    <w:rsid w:val="000364BF"/>
    <w:rsid w:val="00040362"/>
    <w:rsid w:val="0007416E"/>
    <w:rsid w:val="00075552"/>
    <w:rsid w:val="000A5B70"/>
    <w:rsid w:val="000B05DC"/>
    <w:rsid w:val="000B108E"/>
    <w:rsid w:val="000C3E32"/>
    <w:rsid w:val="000E69DD"/>
    <w:rsid w:val="00115E11"/>
    <w:rsid w:val="001234BD"/>
    <w:rsid w:val="00123909"/>
    <w:rsid w:val="00136BFE"/>
    <w:rsid w:val="001476CD"/>
    <w:rsid w:val="00161C22"/>
    <w:rsid w:val="001676EC"/>
    <w:rsid w:val="00173D00"/>
    <w:rsid w:val="0019755C"/>
    <w:rsid w:val="0024308B"/>
    <w:rsid w:val="00263C8B"/>
    <w:rsid w:val="00265C3E"/>
    <w:rsid w:val="00271D05"/>
    <w:rsid w:val="00276E53"/>
    <w:rsid w:val="002845B8"/>
    <w:rsid w:val="002F0A6B"/>
    <w:rsid w:val="00304052"/>
    <w:rsid w:val="003227A4"/>
    <w:rsid w:val="00322C69"/>
    <w:rsid w:val="00373FD6"/>
    <w:rsid w:val="003959AE"/>
    <w:rsid w:val="003B2C88"/>
    <w:rsid w:val="003B2E49"/>
    <w:rsid w:val="003C11EA"/>
    <w:rsid w:val="003D0721"/>
    <w:rsid w:val="003D6DB9"/>
    <w:rsid w:val="00431424"/>
    <w:rsid w:val="00451C47"/>
    <w:rsid w:val="00497290"/>
    <w:rsid w:val="004B3B34"/>
    <w:rsid w:val="004B5ECA"/>
    <w:rsid w:val="004C2A7E"/>
    <w:rsid w:val="004C3713"/>
    <w:rsid w:val="004D63AD"/>
    <w:rsid w:val="004E3576"/>
    <w:rsid w:val="0051202A"/>
    <w:rsid w:val="00513AA7"/>
    <w:rsid w:val="00533E62"/>
    <w:rsid w:val="00544250"/>
    <w:rsid w:val="00545E4F"/>
    <w:rsid w:val="00550478"/>
    <w:rsid w:val="0055071E"/>
    <w:rsid w:val="0056787B"/>
    <w:rsid w:val="00571BD6"/>
    <w:rsid w:val="00597566"/>
    <w:rsid w:val="005C4959"/>
    <w:rsid w:val="005D0169"/>
    <w:rsid w:val="005E7467"/>
    <w:rsid w:val="005F4565"/>
    <w:rsid w:val="00611F97"/>
    <w:rsid w:val="00615390"/>
    <w:rsid w:val="00623D5D"/>
    <w:rsid w:val="006474EF"/>
    <w:rsid w:val="00661142"/>
    <w:rsid w:val="00670BD0"/>
    <w:rsid w:val="006826FA"/>
    <w:rsid w:val="006923C1"/>
    <w:rsid w:val="006B1EFE"/>
    <w:rsid w:val="006C3CED"/>
    <w:rsid w:val="006E0194"/>
    <w:rsid w:val="006E3E23"/>
    <w:rsid w:val="007107C5"/>
    <w:rsid w:val="00714798"/>
    <w:rsid w:val="0071577F"/>
    <w:rsid w:val="00740A9B"/>
    <w:rsid w:val="00746F55"/>
    <w:rsid w:val="00750464"/>
    <w:rsid w:val="007A0431"/>
    <w:rsid w:val="007A78DA"/>
    <w:rsid w:val="007D13D5"/>
    <w:rsid w:val="007D2C76"/>
    <w:rsid w:val="007D7F08"/>
    <w:rsid w:val="00802A61"/>
    <w:rsid w:val="008142A3"/>
    <w:rsid w:val="00820C2C"/>
    <w:rsid w:val="0084123C"/>
    <w:rsid w:val="00856BF3"/>
    <w:rsid w:val="0086541E"/>
    <w:rsid w:val="008B5D5E"/>
    <w:rsid w:val="008D46D7"/>
    <w:rsid w:val="008E0401"/>
    <w:rsid w:val="008E05F5"/>
    <w:rsid w:val="008E51D8"/>
    <w:rsid w:val="008F3E8F"/>
    <w:rsid w:val="00902BB4"/>
    <w:rsid w:val="00912CF6"/>
    <w:rsid w:val="00922D3B"/>
    <w:rsid w:val="00933EA7"/>
    <w:rsid w:val="00943D90"/>
    <w:rsid w:val="009471E2"/>
    <w:rsid w:val="00947FE6"/>
    <w:rsid w:val="009778D2"/>
    <w:rsid w:val="009F538D"/>
    <w:rsid w:val="009F59B0"/>
    <w:rsid w:val="00A03739"/>
    <w:rsid w:val="00A24E69"/>
    <w:rsid w:val="00A45E19"/>
    <w:rsid w:val="00A63721"/>
    <w:rsid w:val="00A649E2"/>
    <w:rsid w:val="00A64F44"/>
    <w:rsid w:val="00A659D4"/>
    <w:rsid w:val="00A773BC"/>
    <w:rsid w:val="00A80F74"/>
    <w:rsid w:val="00AB3F65"/>
    <w:rsid w:val="00AB7739"/>
    <w:rsid w:val="00AD4B80"/>
    <w:rsid w:val="00B06C15"/>
    <w:rsid w:val="00B25A88"/>
    <w:rsid w:val="00B61E85"/>
    <w:rsid w:val="00B66C05"/>
    <w:rsid w:val="00B66E1C"/>
    <w:rsid w:val="00B811BD"/>
    <w:rsid w:val="00B81243"/>
    <w:rsid w:val="00B85A20"/>
    <w:rsid w:val="00B94E4A"/>
    <w:rsid w:val="00B972A1"/>
    <w:rsid w:val="00BD14A0"/>
    <w:rsid w:val="00BD3659"/>
    <w:rsid w:val="00BD476D"/>
    <w:rsid w:val="00C07874"/>
    <w:rsid w:val="00C219AA"/>
    <w:rsid w:val="00C23E4D"/>
    <w:rsid w:val="00C25208"/>
    <w:rsid w:val="00C259F5"/>
    <w:rsid w:val="00C45401"/>
    <w:rsid w:val="00C514CC"/>
    <w:rsid w:val="00C56D5E"/>
    <w:rsid w:val="00C813D8"/>
    <w:rsid w:val="00CA1797"/>
    <w:rsid w:val="00CD2009"/>
    <w:rsid w:val="00D006E6"/>
    <w:rsid w:val="00D0363D"/>
    <w:rsid w:val="00D149A5"/>
    <w:rsid w:val="00D45CFB"/>
    <w:rsid w:val="00D47BA6"/>
    <w:rsid w:val="00D65861"/>
    <w:rsid w:val="00D91A98"/>
    <w:rsid w:val="00DA5B78"/>
    <w:rsid w:val="00DC270F"/>
    <w:rsid w:val="00E062FF"/>
    <w:rsid w:val="00E20062"/>
    <w:rsid w:val="00E40922"/>
    <w:rsid w:val="00E41390"/>
    <w:rsid w:val="00E44827"/>
    <w:rsid w:val="00E54360"/>
    <w:rsid w:val="00E66EED"/>
    <w:rsid w:val="00E71151"/>
    <w:rsid w:val="00EA3598"/>
    <w:rsid w:val="00EB6D6D"/>
    <w:rsid w:val="00ED3645"/>
    <w:rsid w:val="00EE1A78"/>
    <w:rsid w:val="00F02054"/>
    <w:rsid w:val="00F055AB"/>
    <w:rsid w:val="00F32EEB"/>
    <w:rsid w:val="00F64F8D"/>
    <w:rsid w:val="00F767E7"/>
    <w:rsid w:val="00FA58A7"/>
    <w:rsid w:val="00FC6F75"/>
    <w:rsid w:val="00FF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3E033"/>
  <w15:chartTrackingRefBased/>
  <w15:docId w15:val="{B1FF85F3-0A8E-4999-9F59-E717B2DF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jc w:val="center"/>
    </w:pPr>
  </w:style>
  <w:style w:type="paragraph" w:styleId="NormalWeb">
    <w:name w:val="Normal (Web)"/>
    <w:basedOn w:val="Normal"/>
    <w:rsid w:val="00571BD6"/>
    <w:pPr>
      <w:spacing w:before="100" w:beforeAutospacing="1" w:after="100" w:afterAutospacing="1"/>
    </w:pPr>
    <w:rPr>
      <w:rFonts w:ascii="Times New Roman" w:hAnsi="Times New Roman"/>
    </w:rPr>
  </w:style>
  <w:style w:type="paragraph" w:styleId="BalloonText">
    <w:name w:val="Balloon Text"/>
    <w:basedOn w:val="Normal"/>
    <w:semiHidden/>
    <w:rsid w:val="00D45CFB"/>
    <w:rPr>
      <w:rFonts w:ascii="Tahoma" w:hAnsi="Tahoma" w:cs="Tahoma"/>
      <w:sz w:val="16"/>
      <w:szCs w:val="16"/>
    </w:rPr>
  </w:style>
  <w:style w:type="table" w:styleId="TableGrid">
    <w:name w:val="Table Grid"/>
    <w:basedOn w:val="TableNormal"/>
    <w:rsid w:val="00F05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76EC"/>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54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ewicz@lycoming.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odle.lycoming.edu" TargetMode="External"/><Relationship Id="rId5" Type="http://schemas.openxmlformats.org/officeDocument/2006/relationships/hyperlink" Target="mailto:newman@lycoming.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921</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Syllabus – Bio 437 – Molecular Biology</vt:lpstr>
    </vt:vector>
  </TitlesOfParts>
  <Company>Lycoming College</Company>
  <LinksUpToDate>false</LinksUpToDate>
  <CharactersWithSpaces>6076</CharactersWithSpaces>
  <SharedDoc>false</SharedDoc>
  <HLinks>
    <vt:vector size="12" baseType="variant">
      <vt:variant>
        <vt:i4>6488097</vt:i4>
      </vt:variant>
      <vt:variant>
        <vt:i4>3</vt:i4>
      </vt:variant>
      <vt:variant>
        <vt:i4>0</vt:i4>
      </vt:variant>
      <vt:variant>
        <vt:i4>5</vt:i4>
      </vt:variant>
      <vt:variant>
        <vt:lpwstr>http://moodle.lycoming.edu/</vt:lpwstr>
      </vt:variant>
      <vt:variant>
        <vt:lpwstr/>
      </vt:variant>
      <vt:variant>
        <vt:i4>5374058</vt:i4>
      </vt:variant>
      <vt:variant>
        <vt:i4>0</vt:i4>
      </vt:variant>
      <vt:variant>
        <vt:i4>0</vt:i4>
      </vt:variant>
      <vt:variant>
        <vt:i4>5</vt:i4>
      </vt:variant>
      <vt:variant>
        <vt:lpwstr>mailto:newman@lycoming.edu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Bio 437 – Molecular Biology</dc:title>
  <dc:subject/>
  <dc:creator>newman</dc:creator>
  <cp:keywords/>
  <dc:description/>
  <cp:lastModifiedBy>JEFF NEWMAN</cp:lastModifiedBy>
  <cp:revision>4</cp:revision>
  <cp:lastPrinted>2013-08-25T20:06:00Z</cp:lastPrinted>
  <dcterms:created xsi:type="dcterms:W3CDTF">2016-08-29T11:31:00Z</dcterms:created>
  <dcterms:modified xsi:type="dcterms:W3CDTF">2016-09-02T14:34:00Z</dcterms:modified>
</cp:coreProperties>
</file>